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Times New Roman" w:eastAsia="黑体" w:cs="Times New Roman"/>
          <w:sz w:val="44"/>
          <w:szCs w:val="44"/>
        </w:rPr>
      </w:pPr>
      <w:r>
        <w:rPr>
          <w:rFonts w:hint="eastAsia" w:ascii="黑体" w:hAnsi="Times New Roman" w:eastAsia="黑体" w:cs="Times New Roman"/>
          <w:sz w:val="44"/>
          <w:szCs w:val="44"/>
        </w:rPr>
        <w:t>邯郸仲裁委员会</w:t>
      </w:r>
      <w:r>
        <w:rPr>
          <w:rFonts w:hint="eastAsia" w:ascii="黑体" w:hAnsi="Times New Roman" w:eastAsia="黑体" w:cs="Times New Roman"/>
          <w:sz w:val="44"/>
          <w:szCs w:val="44"/>
          <w:lang w:val="en-US" w:eastAsia="zh-CN"/>
        </w:rPr>
        <w:t>2020</w:t>
      </w:r>
      <w:r>
        <w:rPr>
          <w:rFonts w:hint="eastAsia" w:ascii="黑体" w:hAnsi="Times New Roman" w:eastAsia="黑体" w:cs="Times New Roman"/>
          <w:sz w:val="44"/>
          <w:szCs w:val="44"/>
        </w:rPr>
        <w:t>年部门预算公开情况说明</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w:t>
      </w:r>
      <w:r>
        <w:rPr>
          <w:rFonts w:hint="eastAsia" w:ascii="仿宋_GB2312" w:hAnsi="Times New Roman" w:eastAsia="仿宋_GB2312" w:cs="Times New Roman"/>
          <w:sz w:val="32"/>
          <w:szCs w:val="32"/>
          <w:lang w:val="en-US" w:eastAsia="zh-CN"/>
        </w:rPr>
        <w:t>2020</w:t>
      </w:r>
      <w:r>
        <w:rPr>
          <w:rFonts w:hint="eastAsia" w:ascii="仿宋_GB2312" w:hAnsi="Times New Roman" w:eastAsia="仿宋_GB2312"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1、宣传、贯彻、落实《中华人民共和国仲裁法》及有关法律、法规、规章和国家政策;公平、合理地解决平等主体的公民、法人和其他组织之间发生的合同纠纷以及其他财产权益纠纷。</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2、组织召开邯郸仲裁委员会会议。审议通过仲裁委员会主任提出的年度工作报告；研究国内外仲裁发展趋势，拟定我市仲裁工作总体战略、规划及政策；编制经费的预算和决算。</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3、审定和修改邯郸仲裁委员会章程、仲裁暂行规则和内容管理制度；对仲裁委员会组成人员和其他人员进行监督和管理。</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4、拟定、任免、选聘和解聘工作人员和仲裁员；管理、协调、指导邯郸仲裁委员会驻各县（市、区）、各行业办事处开展工作。</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5、对仲裁协议效力进行认定；与人民法院协调在仲裁活动中的证据保全、财产保全及仲裁裁决的执行问题。</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6、对仲裁案件开庭程序和仲裁员、书记员遵守法律和执行规则的情况实施有效监督。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7、完成市委、市政府交办的其他任务。</w:t>
      </w:r>
    </w:p>
    <w:p>
      <w:pPr>
        <w:autoSpaceDE w:val="0"/>
        <w:autoSpaceDN w:val="0"/>
        <w:adjustRightInd w:val="0"/>
        <w:ind w:firstLine="643" w:firstLineChars="200"/>
        <w:jc w:val="left"/>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3"/>
        <w:tblW w:w="97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17"/>
        <w:gridCol w:w="1303"/>
        <w:gridCol w:w="1107"/>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17"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303"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107"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17" w:type="dxa"/>
            <w:vMerge w:val="continue"/>
            <w:vAlign w:val="center"/>
          </w:tcPr>
          <w:p>
            <w:pPr>
              <w:spacing w:line="300" w:lineRule="exact"/>
              <w:jc w:val="left"/>
              <w:outlineLvl w:val="0"/>
              <w:rPr>
                <w:rFonts w:ascii="Times New Roman" w:hAnsi="Times New Roman" w:cs="Times New Roman"/>
                <w:szCs w:val="24"/>
              </w:rPr>
            </w:pPr>
          </w:p>
        </w:tc>
        <w:tc>
          <w:tcPr>
            <w:tcW w:w="1303" w:type="dxa"/>
            <w:vMerge w:val="continue"/>
            <w:vAlign w:val="center"/>
          </w:tcPr>
          <w:p>
            <w:pPr>
              <w:spacing w:line="300" w:lineRule="exact"/>
              <w:jc w:val="left"/>
              <w:outlineLvl w:val="0"/>
              <w:rPr>
                <w:rFonts w:ascii="Times New Roman" w:hAnsi="Times New Roman" w:cs="Times New Roman"/>
                <w:szCs w:val="24"/>
              </w:rPr>
            </w:pPr>
          </w:p>
        </w:tc>
        <w:tc>
          <w:tcPr>
            <w:tcW w:w="1107" w:type="dxa"/>
            <w:vMerge w:val="continue"/>
            <w:vAlign w:val="center"/>
          </w:tcPr>
          <w:p>
            <w:pPr>
              <w:spacing w:line="300" w:lineRule="exact"/>
              <w:jc w:val="left"/>
              <w:outlineLvl w:val="0"/>
              <w:rPr>
                <w:rFonts w:ascii="Times New Roman" w:hAnsi="Times New Roman" w:cs="Times New Roman"/>
                <w:szCs w:val="24"/>
              </w:rPr>
            </w:pPr>
          </w:p>
        </w:tc>
        <w:tc>
          <w:tcPr>
            <w:tcW w:w="2902" w:type="dxa"/>
            <w:vMerge w:val="continue"/>
            <w:vAlign w:val="center"/>
          </w:tcPr>
          <w:p>
            <w:pPr>
              <w:spacing w:line="300" w:lineRule="exact"/>
              <w:jc w:val="left"/>
              <w:outlineLvl w:val="0"/>
              <w:rPr>
                <w:rFonts w:ascii="Times New Roman" w:hAnsi="Times New Roman"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hint="eastAsia" w:ascii="Times New Roman" w:hAnsi="Times New Roman" w:eastAsia="方正书宋_GBK" w:cs="Times New Roman"/>
                <w:szCs w:val="24"/>
              </w:rPr>
            </w:pPr>
            <w:r>
              <w:rPr>
                <w:rFonts w:hint="eastAsia" w:ascii="方正书宋_GBK" w:eastAsia="方正书宋_GBK"/>
              </w:rPr>
              <w:t>邯郸仲裁委员会</w:t>
            </w:r>
          </w:p>
        </w:tc>
        <w:tc>
          <w:tcPr>
            <w:tcW w:w="1303" w:type="dxa"/>
            <w:vAlign w:val="center"/>
          </w:tcPr>
          <w:p>
            <w:pPr>
              <w:spacing w:line="300" w:lineRule="exact"/>
              <w:jc w:val="center"/>
              <w:rPr>
                <w:rFonts w:hint="eastAsia" w:ascii="Times New Roman" w:hAnsi="Times New Roman" w:eastAsia="方正书宋_GBK" w:cs="Times New Roman"/>
                <w:szCs w:val="24"/>
              </w:rPr>
            </w:pPr>
            <w:r>
              <w:rPr>
                <w:rFonts w:hint="eastAsia" w:ascii="方正书宋_GBK" w:eastAsia="方正书宋_GBK"/>
              </w:rPr>
              <w:t>事业（参公）</w:t>
            </w:r>
          </w:p>
        </w:tc>
        <w:tc>
          <w:tcPr>
            <w:tcW w:w="1107"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正县级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全额财政拨款</w:t>
            </w:r>
          </w:p>
        </w:tc>
      </w:tr>
    </w:tbl>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邯郸仲裁委员会内设5个职能处室分别为办公室、案件受理处、案件审理处、宣传联络处、案件调解处。</w:t>
      </w:r>
    </w:p>
    <w:p/>
    <w:p>
      <w:pPr>
        <w:ind w:firstLine="640"/>
        <w:rPr>
          <w:rFonts w:hint="eastAsia"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按照预算管理有关规定，目前我部门预算的编制实行综合预算制度，即全部收入和支出都反映的预算中。</w:t>
      </w:r>
    </w:p>
    <w:p>
      <w:pPr>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 xml:space="preserve">1、收入说明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年预算收入</w:t>
      </w:r>
      <w:r>
        <w:rPr>
          <w:rFonts w:hint="eastAsia" w:ascii="仿宋_GB2312" w:hAnsi="仿宋_GB2312" w:eastAsia="仿宋_GB2312" w:cs="仿宋_GB2312"/>
          <w:sz w:val="32"/>
          <w:szCs w:val="32"/>
          <w:lang w:val="en-US" w:eastAsia="zh-CN"/>
        </w:rPr>
        <w:t>1028.73</w:t>
      </w:r>
      <w:r>
        <w:rPr>
          <w:rFonts w:hint="eastAsia" w:ascii="仿宋_GB2312" w:hAnsi="仿宋_GB2312" w:eastAsia="仿宋_GB2312" w:cs="仿宋_GB2312"/>
          <w:sz w:val="32"/>
          <w:szCs w:val="32"/>
        </w:rPr>
        <w:t>万元，其中：一般公共预算收入</w:t>
      </w:r>
      <w:r>
        <w:rPr>
          <w:rFonts w:hint="eastAsia" w:ascii="仿宋_GB2312" w:hAnsi="仿宋_GB2312" w:eastAsia="仿宋_GB2312" w:cs="仿宋_GB2312"/>
          <w:sz w:val="32"/>
          <w:szCs w:val="32"/>
          <w:lang w:val="en-US" w:eastAsia="zh-CN"/>
        </w:rPr>
        <w:t>1028.73</w:t>
      </w:r>
      <w:r>
        <w:rPr>
          <w:rFonts w:hint="eastAsia" w:ascii="仿宋_GB2312" w:hAnsi="仿宋_GB2312" w:eastAsia="仿宋_GB2312" w:cs="仿宋_GB2312"/>
          <w:sz w:val="32"/>
          <w:szCs w:val="32"/>
        </w:rPr>
        <w:t>万元。</w:t>
      </w:r>
    </w:p>
    <w:p>
      <w:pPr>
        <w:numPr>
          <w:ilvl w:val="0"/>
          <w:numId w:val="1"/>
        </w:numPr>
        <w:ind w:firstLine="64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支出说明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年支出预算</w:t>
      </w:r>
      <w:r>
        <w:rPr>
          <w:rFonts w:hint="eastAsia" w:ascii="仿宋_GB2312" w:hAnsi="仿宋_GB2312" w:eastAsia="仿宋_GB2312" w:cs="仿宋_GB2312"/>
          <w:sz w:val="32"/>
          <w:szCs w:val="32"/>
          <w:lang w:val="en-US" w:eastAsia="zh-CN"/>
        </w:rPr>
        <w:t>1028.73</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263.73</w:t>
      </w:r>
      <w:r>
        <w:rPr>
          <w:rFonts w:hint="eastAsia" w:ascii="仿宋_GB2312" w:hAnsi="仿宋_GB2312" w:eastAsia="仿宋_GB2312" w:cs="仿宋_GB2312"/>
          <w:sz w:val="32"/>
          <w:szCs w:val="32"/>
        </w:rPr>
        <w:t>万元，包括人员经费</w:t>
      </w:r>
      <w:r>
        <w:rPr>
          <w:rFonts w:hint="eastAsia" w:ascii="仿宋_GB2312" w:hAnsi="仿宋_GB2312" w:eastAsia="仿宋_GB2312" w:cs="仿宋_GB2312"/>
          <w:sz w:val="32"/>
          <w:szCs w:val="32"/>
          <w:lang w:val="en-US" w:eastAsia="zh-CN"/>
        </w:rPr>
        <w:t>216.58</w:t>
      </w:r>
      <w:r>
        <w:rPr>
          <w:rFonts w:hint="eastAsia" w:ascii="仿宋_GB2312" w:hAnsi="仿宋_GB2312" w:eastAsia="仿宋_GB2312" w:cs="仿宋_GB2312"/>
          <w:sz w:val="32"/>
          <w:szCs w:val="32"/>
        </w:rPr>
        <w:t>万元和日常公用经费</w:t>
      </w:r>
      <w:r>
        <w:rPr>
          <w:rFonts w:hint="eastAsia" w:ascii="仿宋_GB2312" w:hAnsi="仿宋_GB2312" w:eastAsia="仿宋_GB2312" w:cs="仿宋_GB2312"/>
          <w:sz w:val="32"/>
          <w:szCs w:val="32"/>
          <w:lang w:val="en-US" w:eastAsia="zh-CN"/>
        </w:rPr>
        <w:t>45.75</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765</w:t>
      </w:r>
      <w:r>
        <w:rPr>
          <w:rFonts w:hint="eastAsia" w:ascii="仿宋_GB2312" w:hAnsi="仿宋_GB2312" w:eastAsia="仿宋_GB2312" w:cs="仿宋_GB2312"/>
          <w:sz w:val="32"/>
          <w:szCs w:val="32"/>
        </w:rPr>
        <w:t>万元，主要为政府采购、正常办公支出、仲裁员报酬等。</w:t>
      </w:r>
    </w:p>
    <w:p>
      <w:pPr>
        <w:numPr>
          <w:ilvl w:val="0"/>
          <w:numId w:val="1"/>
        </w:numPr>
        <w:ind w:firstLine="64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比上年增减变化情况</w:t>
      </w:r>
    </w:p>
    <w:p>
      <w:pPr>
        <w:ind w:firstLine="630"/>
        <w:rPr>
          <w:rFonts w:hint="eastAsia" w:ascii="Times New Roman" w:hAnsi="Times New Roman" w:eastAsia="方正仿宋_GBK" w:cs="Times New Roman"/>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年预算收支安排</w:t>
      </w:r>
      <w:r>
        <w:rPr>
          <w:rFonts w:hint="eastAsia" w:ascii="仿宋_GB2312" w:hAnsi="仿宋_GB2312" w:eastAsia="仿宋_GB2312" w:cs="仿宋_GB2312"/>
          <w:sz w:val="32"/>
          <w:szCs w:val="32"/>
          <w:lang w:val="en-US" w:eastAsia="zh-CN"/>
        </w:rPr>
        <w:t>1028.73</w:t>
      </w:r>
      <w:r>
        <w:rPr>
          <w:rFonts w:hint="eastAsia" w:ascii="仿宋_GB2312" w:hAnsi="仿宋_GB2312" w:eastAsia="仿宋_GB2312" w:cs="仿宋_GB2312"/>
          <w:sz w:val="32"/>
          <w:szCs w:val="32"/>
        </w:rPr>
        <w:t>万元，较201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年预算增加</w:t>
      </w:r>
      <w:r>
        <w:rPr>
          <w:rFonts w:hint="eastAsia" w:ascii="仿宋_GB2312" w:hAnsi="仿宋_GB2312" w:eastAsia="仿宋_GB2312" w:cs="仿宋_GB2312"/>
          <w:sz w:val="32"/>
          <w:szCs w:val="32"/>
          <w:lang w:val="en-US" w:eastAsia="zh-CN"/>
        </w:rPr>
        <w:t>479.2</w:t>
      </w:r>
      <w:r>
        <w:rPr>
          <w:rFonts w:hint="eastAsia" w:ascii="仿宋_GB2312" w:hAnsi="仿宋_GB2312" w:eastAsia="仿宋_GB2312" w:cs="仿宋_GB2312"/>
          <w:sz w:val="32"/>
          <w:szCs w:val="32"/>
        </w:rPr>
        <w:t>万元，其中：基本支出增加了</w:t>
      </w:r>
      <w:r>
        <w:rPr>
          <w:rFonts w:hint="eastAsia" w:ascii="仿宋_GB2312" w:hAnsi="仿宋_GB2312" w:eastAsia="仿宋_GB2312" w:cs="仿宋_GB2312"/>
          <w:sz w:val="32"/>
          <w:szCs w:val="32"/>
          <w:lang w:val="en-US" w:eastAsia="zh-CN"/>
        </w:rPr>
        <w:t>14.2</w:t>
      </w:r>
      <w:r>
        <w:rPr>
          <w:rFonts w:hint="eastAsia" w:ascii="仿宋_GB2312" w:hAnsi="仿宋_GB2312" w:eastAsia="仿宋_GB2312" w:cs="仿宋_GB2312"/>
          <w:sz w:val="32"/>
          <w:szCs w:val="32"/>
        </w:rPr>
        <w:t>万元，主要原因是涉及到社会养老保险、医疗保险和职业年金的改革等，今年我委的预算增加了养老保险预算、医疗保险预算和职业年金预算，使得基本支出预算较</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年有所增加；项目支出增加</w:t>
      </w:r>
      <w:r>
        <w:rPr>
          <w:rFonts w:hint="eastAsia" w:ascii="仿宋_GB2312" w:hAnsi="仿宋_GB2312" w:eastAsia="仿宋_GB2312" w:cs="仿宋_GB2312"/>
          <w:sz w:val="32"/>
          <w:szCs w:val="32"/>
          <w:lang w:val="en-US" w:eastAsia="zh-CN"/>
        </w:rPr>
        <w:t>465</w:t>
      </w:r>
      <w:r>
        <w:rPr>
          <w:rFonts w:hint="eastAsia" w:ascii="仿宋_GB2312" w:hAnsi="仿宋_GB2312" w:eastAsia="仿宋_GB2312" w:cs="仿宋_GB2312"/>
          <w:sz w:val="32"/>
          <w:szCs w:val="32"/>
        </w:rPr>
        <w:t>万元，主要是由于我委案件数量的增加使得办案的日常各项费用支出均有所增加，同时仲裁员报酬支出也相应的增加。</w:t>
      </w:r>
    </w:p>
    <w:p>
      <w:pPr>
        <w:ind w:firstLine="640"/>
        <w:rPr>
          <w:rFonts w:hint="eastAsia"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机关运行经费共计安排</w:t>
      </w:r>
      <w:r>
        <w:rPr>
          <w:rFonts w:hint="eastAsia" w:ascii="仿宋_GB2312" w:hAnsi="仿宋_GB2312" w:eastAsia="仿宋_GB2312" w:cs="仿宋_GB2312"/>
          <w:sz w:val="32"/>
          <w:szCs w:val="32"/>
          <w:lang w:val="en-US" w:eastAsia="zh-CN"/>
        </w:rPr>
        <w:t>45.75</w:t>
      </w:r>
      <w:r>
        <w:rPr>
          <w:rFonts w:hint="eastAsia" w:ascii="仿宋_GB2312" w:hAnsi="仿宋_GB2312" w:eastAsia="仿宋_GB2312" w:cs="仿宋_GB2312"/>
          <w:sz w:val="32"/>
          <w:szCs w:val="32"/>
        </w:rPr>
        <w:t>万元，主要用于保证机关正常运行的各项费用，包括办公费，邮电费，差旅费，维修（护）费，公务交通补贴，会议费，办公设备购置费，公务用车运行维护费等日常运行支出。</w:t>
      </w:r>
    </w:p>
    <w:p>
      <w:pPr>
        <w:ind w:firstLine="640"/>
        <w:rPr>
          <w:rFonts w:hint="eastAsia" w:ascii="黑体" w:hAnsi="黑体" w:eastAsia="黑体" w:cs="Times New Roman"/>
          <w:sz w:val="32"/>
          <w:szCs w:val="32"/>
        </w:rPr>
      </w:pPr>
      <w:r>
        <w:rPr>
          <w:rFonts w:hint="eastAsia" w:ascii="黑体" w:hAnsi="黑体" w:eastAsia="黑体" w:cs="Times New Roman"/>
          <w:sz w:val="32"/>
          <w:szCs w:val="32"/>
        </w:rPr>
        <w:t>四、财政拨款“三公”经费预算情况及增减变化原因</w:t>
      </w:r>
    </w:p>
    <w:p>
      <w:pPr>
        <w:spacing w:line="600" w:lineRule="exact"/>
        <w:ind w:firstLine="640" w:firstLineChars="200"/>
        <w:rPr>
          <w:rFonts w:hint="eastAsia" w:ascii="方正小标宋_GBK" w:eastAsia="方正小标宋_GBK"/>
          <w:sz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我单位“三公”经费预算安排1.95万元，其中：因公出国（境）费0万元，因我单位不涉及该项支出，所以近几年该项预算安排支出均为0万元；公务用车购置及运行维护费1.60万元（其中：公务用车购置费0万元，公务用车运行维护费1.60万元）；公务用车购置支出0万元与去年保持一</w:t>
      </w:r>
      <w:r>
        <w:rPr>
          <w:rFonts w:hint="eastAsia" w:ascii="仿宋_GB2312" w:hAnsi="仿宋_GB2312" w:eastAsia="仿宋_GB2312" w:cs="仿宋_GB2312"/>
          <w:sz w:val="32"/>
          <w:szCs w:val="32"/>
          <w:lang w:val="en-US" w:eastAsia="zh-CN"/>
        </w:rPr>
        <w:t>致</w:t>
      </w:r>
      <w:r>
        <w:rPr>
          <w:rFonts w:hint="eastAsia" w:ascii="仿宋_GB2312" w:hAnsi="仿宋_GB2312" w:eastAsia="仿宋_GB2312" w:cs="仿宋_GB2312"/>
          <w:sz w:val="32"/>
          <w:szCs w:val="32"/>
        </w:rPr>
        <w:t>，公务用车运行维护费比去年的</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保持持平</w:t>
      </w:r>
      <w:r>
        <w:rPr>
          <w:rFonts w:hint="eastAsia" w:ascii="仿宋_GB2312" w:hAnsi="仿宋_GB2312" w:eastAsia="仿宋_GB2312" w:cs="仿宋_GB2312"/>
          <w:sz w:val="32"/>
          <w:szCs w:val="32"/>
        </w:rPr>
        <w:t>，主要原因是我单位严格规范公务用车管理，公车出行上系统出派车单，还实行定点维修、加油、统一保险；公务接待费0.35万元，与201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年的</w:t>
      </w:r>
      <w:r>
        <w:rPr>
          <w:rFonts w:hint="eastAsia" w:ascii="仿宋_GB2312" w:hAnsi="仿宋_GB2312" w:eastAsia="仿宋_GB2312" w:cs="仿宋_GB2312"/>
          <w:sz w:val="32"/>
          <w:szCs w:val="32"/>
          <w:lang w:val="en-US" w:eastAsia="zh-CN"/>
        </w:rPr>
        <w:t>0.35</w:t>
      </w:r>
      <w:r>
        <w:rPr>
          <w:rFonts w:hint="eastAsia" w:ascii="仿宋_GB2312" w:hAnsi="仿宋_GB2312" w:eastAsia="仿宋_GB2312" w:cs="仿宋_GB2312"/>
          <w:sz w:val="32"/>
          <w:szCs w:val="32"/>
        </w:rPr>
        <w:t>万元相比</w:t>
      </w:r>
      <w:r>
        <w:rPr>
          <w:rFonts w:hint="eastAsia" w:ascii="仿宋_GB2312" w:hAnsi="仿宋_GB2312" w:eastAsia="仿宋_GB2312" w:cs="仿宋_GB2312"/>
          <w:sz w:val="32"/>
          <w:szCs w:val="32"/>
          <w:lang w:eastAsia="zh-CN"/>
        </w:rPr>
        <w:t>保持</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sz w:val="32"/>
          <w:szCs w:val="32"/>
        </w:rPr>
        <w:t>，主要原因为我单位严格执行《党政机关国内公务接待制度》，认真履行国家规定的八项规定，严禁公款吃喝和高消费娱乐等支出。</w:t>
      </w:r>
    </w:p>
    <w:p>
      <w:pPr>
        <w:spacing w:line="600" w:lineRule="exact"/>
        <w:ind w:firstLine="640" w:firstLineChars="200"/>
        <w:rPr>
          <w:rFonts w:hint="eastAsia" w:ascii="仿宋_GB2312" w:hAnsi="仿宋_GB2312" w:eastAsia="仿宋_GB2312" w:cs="仿宋_GB2312"/>
          <w:sz w:val="32"/>
          <w:szCs w:val="32"/>
        </w:rPr>
      </w:pPr>
    </w:p>
    <w:p>
      <w:pPr>
        <w:ind w:firstLine="640"/>
        <w:rPr>
          <w:rFonts w:hint="eastAsia" w:ascii="黑体" w:hAnsi="黑体" w:eastAsia="黑体" w:cs="Times New Roman"/>
          <w:sz w:val="32"/>
          <w:szCs w:val="32"/>
        </w:rPr>
      </w:pPr>
      <w:r>
        <w:rPr>
          <w:rFonts w:hint="eastAsia" w:ascii="黑体" w:hAnsi="黑体" w:eastAsia="黑体" w:cs="Times New Roman"/>
          <w:sz w:val="32"/>
          <w:szCs w:val="32"/>
        </w:rPr>
        <w:t>五、绩效预算信息</w:t>
      </w:r>
    </w:p>
    <w:p>
      <w:pPr>
        <w:spacing w:before="156" w:beforeLines="50" w:after="156" w:afterLines="50"/>
        <w:ind w:firstLine="643" w:firstLineChars="200"/>
        <w:jc w:val="left"/>
        <w:rPr>
          <w:rFonts w:hint="eastAsia" w:ascii="楷体_GB2312" w:hAnsi="Times New Roman" w:eastAsia="楷体_GB2312" w:cs="Times New Roman"/>
          <w:b/>
          <w:sz w:val="32"/>
          <w:szCs w:val="32"/>
        </w:rPr>
      </w:pPr>
      <w:bookmarkStart w:id="0" w:name="_Toc471398463"/>
      <w:r>
        <w:rPr>
          <w:rFonts w:hint="eastAsia" w:ascii="楷体_GB2312" w:hAnsi="Times New Roman" w:eastAsia="楷体_GB2312" w:cs="Times New Roman"/>
          <w:b/>
          <w:sz w:val="32"/>
          <w:szCs w:val="32"/>
        </w:rPr>
        <w:t>总体绩效目标：</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2020年，邯郸仲裁委员将继续深入学习领会十九大精神和习近平新时代中国特色社会主义思想，围绕市委市政府的中心工作，充分发挥仲裁职能作用，较好地完成各项工作，为优化我市营商环境，促进经济发展和维护社会稳定做出积极贡献。2020年是检验我委“不忘初心、牢记使命”主题教育成果的重要一年，也是贯彻落实十九届四中全会精神的关键一年，为此我们下大力气，狠抓以下三个方面的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3"/>
        <w:jc w:val="left"/>
        <w:rPr>
          <w:rFonts w:hint="eastAsia" w:ascii="仿宋_GB2312" w:hAnsi="华文中宋" w:eastAsia="仿宋_GB2312"/>
          <w:sz w:val="32"/>
          <w:szCs w:val="32"/>
        </w:rPr>
      </w:pPr>
      <w:r>
        <w:rPr>
          <w:rFonts w:hint="eastAsia" w:ascii="仿宋_GB2312" w:hAnsi="华文中宋" w:eastAsia="仿宋_GB2312"/>
          <w:sz w:val="32"/>
          <w:szCs w:val="32"/>
        </w:rPr>
        <w:t>一、进一步提高仲裁案件质效。一是提高仲裁庭和书记员对仲裁程序管理的能力。做好立案组庭、程序把关、文书审核等工作，以审限管理为抓手，以服务仲裁庭为着力点，培养和提高书记员案件管理水平，充分发挥书记员在案件程序管理方面的主导作用。二是提高妥善解决重大案件和疑难复杂案件的能力。通过积极沟通协调、理清仲裁思路、把握审理节奏、掌握相关动态、召开专家咨询委员会等一系列措施，提高仲裁委处理复杂情况的能力。三是加强案件调解工作，充分发挥调解处其职能作用，加大案件立案后、裁决前调解力度，运用仲裁优势有效解决各类民商事争议，主动承担更多化解社会矛盾的责任。</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二、创新方式提升仲裁影响力。始终坚持“推行仲裁法律制度是根本，融入市场经济是关键”的工作思路，采取多种形式不断加大宣传力度，全面提高社会认知度。一方面要加强新兴媒体在宣传仲裁方面的作用，充分把公众服务平台与仲裁服务有机结合起来，及时传播最新仲裁法律资讯，解答当事人关心的仲裁法律问题，进一步拓宽对外宣传渠道；另一方面，充分发挥律师仲裁员的影响力，特别是在企业中担任法律顾问的律师仲裁员，通过他们规范其顾问单位合同。</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三、全力打造高素质仲裁队伍。提升仲裁队伍的能力素质，对于保证仲裁质效至关重要。2020年我们要狠抓学习，提升综合素质。一是强化机关内部学习。在保证政治理论、道德修养等方面学习的同时，要增大业务知识学习的比重，引入典型案例点评、法律条文讲读、疑难问题解析等形式，充分发挥集中学习的作用。二是开办专题讲座。继续聘请国内知名专家学者来邯举办专题讲座，通过举办2—3期专题培训，对所有仲裁员、书记员轮训一遍。三是送外地交流培训。要组织选送部分仲裁员、书记员到先进的仲裁机构、知名的高等院校参观交流、挂职学习，包括参加各地举办的仲裁培训班、研讨班。</w:t>
      </w:r>
    </w:p>
    <w:p>
      <w:pPr>
        <w:keepNext w:val="0"/>
        <w:keepLines w:val="0"/>
        <w:pageBreakBefore w:val="0"/>
        <w:widowControl w:val="0"/>
        <w:tabs>
          <w:tab w:val="left" w:pos="540"/>
        </w:tabs>
        <w:kinsoku/>
        <w:wordWrap/>
        <w:overflowPunct/>
        <w:topLinePunct w:val="0"/>
        <w:autoSpaceDE/>
        <w:autoSpaceDN/>
        <w:bidi w:val="0"/>
        <w:adjustRightInd/>
        <w:snapToGrid/>
        <w:spacing w:before="313" w:beforeLines="100" w:after="313" w:afterLines="100"/>
        <w:ind w:firstLine="643" w:firstLineChars="200"/>
        <w:textAlignment w:val="auto"/>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职责分类绩效目标：</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一、以武装头脑为关键点，深入开展思想教育</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我委党组将继续坚决贯彻落实习近平总书记重要讲话精神和省委、市委安排部署，紧紧围绕守初心、担使命，找差距、抓落实的总要求，突出用实习近平新时代中国特色社会主义思想武装头脑指导工作，聚焦目标要求，狠抓重点举措，统筹协调推进，确保各项工作的开展。</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二、以狠抓案件质效为着力点，增强仲裁公信力</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一）严格管控案件节点。我委对仲裁案件每个环节的时间要求和具体工作进行明确规定，做到严把“五关”。一是严把案件受理关。加强立案审查，并对案件进行跟踪管理；符合立案条件的及时立案，不符合条件的告知当事人及时补正。从严审查主体资格，审查当事人与案件是否存在法律上的利害关系；是否有错列、漏列当事人的情况，提高立案的准确性。二是严把组庭程序关。科学配置仲裁庭组成人员，针对案件的不同类型，挑选相关行业的专家仲裁员组成仲裁庭审理案件。三是严把庭前准备关。庭前对文书材料的送达手续是否合法进行审查，对复杂、疑难案件进行证据交换。通过认真阅卷，准确把握争议焦点。对案件作调解可能性分析，能调则调，当判则判，在确保案件质量的前提下，提高办案效率。四是严把案件审理关。在案件审理过程中，我们认真贯彻案结事了的方针，强调把仲裁案件办成“铁案”，使当事人双方胜败皆明，最终实现案结事了，息纷止争。五是严把案件裁决关。由仲裁庭围绕案件焦点，依据法律规定进行认真评议，在裁决时，做到事实认定清楚，引用法律条文准确，理由确实充分。</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 xml:space="preserve"> (二)充分发挥专家作用。为切实保证案件质量，我们将组织23名本地法律专家组成我委专家咨询委员会，同时聘请沈四宝、龙翼飞等5名全国知名专家教授组成外地专家团队。对于重大、疑难以及仲裁庭意见分歧较大的案件及时提请专家委员会进行咨询，经专家咨询委员会讨论还无法准确定案的疑难案件，交由外地专家团队共同研究，为仲裁庭提供权威性的参考意见。通过层层把关，确保每一起案件都能办成程序严谨、事实清楚、依据充分的铁案。</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三）坚持推行团队制度。虽然仲裁法明确规定，仲裁庭是独立办案，但最后仲裁裁决需加盖仲裁委的公章，因此仲裁委对每起案件都必须全程监督，跟踪问效，保证案件公平公正。围绕实现这一目标，在仲裁工作实践中，我们推行将“团队负责制度”， 每起案件都由一名书记员、一名处长和一名主管主任组成的“三人团队”共同负责，做到在案件审理过程中问题及时沟通研究、程序全程监控指导，案子如果出现差错，三人一并问责。</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四）持续加大调解力度。坚持“调解优先”，树立“少敲锤子，多解扣子”的纠纷处理理念，充分发挥仲裁独特的调解优势。积极推动建立和完善各方面参与的调解工作格局，自觉主动运用调解方式处理矛盾纠纷，贯穿于立案、审理的各个环节。对于在立案当时就发现当事人之间争议不大、权利义务关系清楚的案件，立案后及时进行调解。能够达成调解协议的，迅速组成仲裁庭，及时制作调解书发送给当事人。在审理过程中发现有调解可能的，动员各方力量，耐心做好说服工作，并在审限上予以适当处理，促使矛盾纠纷顺利解决。对于依法不能调解、案情不适合调解、当事人不同意调解的案件，及时作出裁决，防止久调不结、久拖不决。</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三、以加大宣传力度为突破点，提高社会认知度</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紧紧抓住先进的仲裁法律制度与相对滞后的社会仲裁意识这一基本矛盾，广泛、深入地开展宣传工作，持之以恒地提高市场主体的仲裁法律意识，提升全社会对仲裁的认知度。印发宣传彩页，刊发宣传专版，深入企业宣传，加强网络媒体宣传。一方面充分发挥仲裁门户网站的作用，及时更新官网信息，方便当事人参与仲裁，使社会各界了解仲裁工作动态和仲裁知识。另一方面通过微信公众号，将我们的实际工作与文明创建工作相结合，定期发布仲裁信息，注重提高信息可读性与吸引力，丰富内容来源。</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四、以提升服务水平为出发点，制定便民措施</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我委始终坚持群众利益无小事，始终坚持把维护群众利益放在工作首位，强化服务理念，减少当事人的诉累，灵活组织开庭，畅通诉求渠道，创新监督形式。</w:t>
      </w:r>
    </w:p>
    <w:p>
      <w:pPr>
        <w:tabs>
          <w:tab w:val="left" w:pos="540"/>
        </w:tabs>
        <w:ind w:firstLine="640" w:firstLineChars="200"/>
        <w:rPr>
          <w:rFonts w:hint="eastAsia" w:ascii="仿宋_GB2312" w:hAnsi="华文中宋" w:eastAsia="仿宋_GB2312"/>
          <w:sz w:val="32"/>
          <w:szCs w:val="32"/>
        </w:rPr>
      </w:pPr>
    </w:p>
    <w:p>
      <w:pPr>
        <w:spacing w:before="156" w:beforeLines="50" w:after="156" w:afterLines="50"/>
        <w:ind w:firstLine="643" w:firstLineChars="200"/>
        <w:jc w:val="left"/>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 xml:space="preserve"> 实现年度发展规划目标的保障措施</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一、加强领导，深度推进我委各项工作建设</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发挥领导表率作用，落实主体责任，完善各项制度。通过制定和完善《“一岗双责”实施方案》、《党风廉政建设责任制实施办法》，做到班子成员人人有责，齐抓共管。</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二、加强制度建设，以制度为基，严格把握案件质量</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健全制度，规范办案流程。我们严格执行《仲裁办案错案追究制度》、“十条禁令”，对违反规定、造成错案的仲裁员视情节分别给予不同程度的处理，对枉法裁决造成重大社会影响的要追究其法律责任；严格执行《仲裁案件审限提示、催办制度》，大力提高办案效率；制定《邯郸仲裁委员会招标方式确定案件鉴定机构的实施办法》，进一步增强案件鉴定工作的透明化程度，提高鉴定工作效率和质量，降低鉴定成本，节省当事人开支。</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（二）健全制度，提高机关管理效率。将先后制定、修订的一系列制度、规范、规定和办法辑印成《制度汇编》，收录各项制度52项，在全机关形成以制度管人，按制度办事的良好风气。</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三、抓队伍建设，树自身形象</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首先，把抓好领导干部队伍建设放到突出的位置。进一步完善中心组学习制度；进一步完善民主生活会制度；进一步完善主任办公会议和党组会议议事规则，形成民主决策的工作机制。其次，着力打造一支能征善战的机关干部队伍。一是，在全委机关开展“夯实法学基础，提升办案能力”活动，二是，制定《关于进一步转变工作作风的意见》，开展整改活动。三是，以聘、调、培、管并重原则建设高素质仲裁员队伍。面向社会选聘一大批业务精、能力强、素质高的仲裁员。四是修订完善《仲裁员管理办法》，明确仲裁员的行为规范和考核办法，坚持每年两次以上对仲裁员的集中培训。</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四、重点推进工作，确保各项目标的实现</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（一）通过宣传融入，提高社会各界以及市场主体对仲裁的认知度，选择仲裁，提升仲裁案件数量。</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（二）开展仲裁辅助工作，对仲裁工作技术咨询、技术审核服务。</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（三)规范审判、执行、监督程序，维护各方当事人的合法权益，切实保障群众合法权益，提高仲裁的公信力，维护社会公平正义。</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四）加强仲裁队伍建设，加强仲裁基础设施及信息化建设，加强培训及仲裁文化建设；总结仲裁业务工作经验，建立绩效考核制度，不断提高队伍素质和仲裁能力，推进信息公开，提升仲裁质效，改进仲裁工作作风，确保各项事务性管理工作高效，保障机关正常高效运转。</w:t>
      </w:r>
    </w:p>
    <w:p>
      <w:pPr>
        <w:tabs>
          <w:tab w:val="left" w:pos="540"/>
        </w:tabs>
        <w:ind w:firstLine="640" w:firstLineChars="200"/>
        <w:rPr>
          <w:rFonts w:hint="eastAsia" w:ascii="仿宋_GB2312" w:hAnsi="华文中宋" w:eastAsia="仿宋_GB2312"/>
          <w:sz w:val="32"/>
          <w:szCs w:val="32"/>
        </w:rPr>
      </w:pPr>
    </w:p>
    <w:p>
      <w:pPr>
        <w:jc w:val="left"/>
        <w:outlineLvl w:val="0"/>
        <w:rPr>
          <w:rFonts w:hint="eastAsia" w:ascii="楷体_GB2312" w:hAnsi="黑体" w:eastAsia="楷体_GB2312"/>
          <w:b/>
          <w:sz w:val="32"/>
          <w:szCs w:val="32"/>
        </w:rPr>
      </w:pPr>
    </w:p>
    <w:p>
      <w:pPr>
        <w:jc w:val="left"/>
        <w:outlineLvl w:val="0"/>
        <w:rPr>
          <w:rFonts w:hint="eastAsia" w:ascii="楷体_GB2312" w:hAnsi="Times New Roman" w:eastAsia="楷体_GB2312" w:cs="Times New Roman"/>
          <w:sz w:val="32"/>
          <w:szCs w:val="24"/>
        </w:rPr>
      </w:pPr>
      <w:r>
        <w:rPr>
          <w:rFonts w:hint="eastAsia" w:ascii="楷体_GB2312" w:hAnsi="黑体" w:eastAsia="楷体_GB2312"/>
          <w:b/>
          <w:sz w:val="32"/>
          <w:szCs w:val="32"/>
        </w:rPr>
        <w:t>部门职责及工作活动绩效目标指标：</w:t>
      </w:r>
    </w:p>
    <w:bookmarkEnd w:id="0"/>
    <w:tbl>
      <w:tblPr>
        <w:tblStyle w:val="3"/>
        <w:tblW w:w="12735" w:type="dxa"/>
        <w:tblInd w:w="0" w:type="dxa"/>
        <w:tblLayout w:type="fixed"/>
        <w:tblCellMar>
          <w:top w:w="0" w:type="dxa"/>
          <w:left w:w="0" w:type="dxa"/>
          <w:bottom w:w="0" w:type="dxa"/>
          <w:right w:w="0" w:type="dxa"/>
        </w:tblCellMar>
      </w:tblPr>
      <w:tblGrid>
        <w:gridCol w:w="1034"/>
        <w:gridCol w:w="1830"/>
        <w:gridCol w:w="1745"/>
        <w:gridCol w:w="2162"/>
        <w:gridCol w:w="1305"/>
        <w:gridCol w:w="889"/>
        <w:gridCol w:w="2033"/>
        <w:gridCol w:w="1737"/>
      </w:tblGrid>
      <w:tr>
        <w:tblPrEx>
          <w:tblLayout w:type="fixed"/>
          <w:tblCellMar>
            <w:top w:w="0" w:type="dxa"/>
            <w:left w:w="0" w:type="dxa"/>
            <w:bottom w:w="0" w:type="dxa"/>
            <w:right w:w="0" w:type="dxa"/>
          </w:tblCellMar>
        </w:tblPrEx>
        <w:trPr>
          <w:trHeight w:val="600" w:hRule="atLeast"/>
        </w:trPr>
        <w:tc>
          <w:tcPr>
            <w:tcW w:w="12735" w:type="dxa"/>
            <w:gridSpan w:val="8"/>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43"/>
                <w:szCs w:val="43"/>
                <w:u w:val="none"/>
              </w:rPr>
            </w:pPr>
            <w:r>
              <w:rPr>
                <w:rFonts w:hint="eastAsia" w:ascii="宋体" w:hAnsi="宋体" w:eastAsia="宋体" w:cs="宋体"/>
                <w:i w:val="0"/>
                <w:color w:val="1E1E1E"/>
                <w:kern w:val="0"/>
                <w:sz w:val="43"/>
                <w:szCs w:val="43"/>
                <w:u w:val="none"/>
                <w:lang w:val="en-US" w:eastAsia="zh-CN" w:bidi="ar"/>
              </w:rPr>
              <w:t>预算项目绩效信息表</w:t>
            </w:r>
          </w:p>
        </w:tc>
      </w:tr>
      <w:tr>
        <w:tblPrEx>
          <w:tblLayout w:type="fixed"/>
          <w:tblCellMar>
            <w:top w:w="0" w:type="dxa"/>
            <w:left w:w="0" w:type="dxa"/>
            <w:bottom w:w="0" w:type="dxa"/>
            <w:right w:w="0" w:type="dxa"/>
          </w:tblCellMar>
        </w:tblPrEx>
        <w:trPr>
          <w:trHeight w:val="375" w:hRule="atLeast"/>
        </w:trPr>
        <w:tc>
          <w:tcPr>
            <w:tcW w:w="1034" w:type="dxa"/>
            <w:vMerge w:val="restart"/>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E1E1E"/>
                <w:sz w:val="20"/>
                <w:szCs w:val="20"/>
                <w:u w:val="none"/>
              </w:rPr>
            </w:pPr>
            <w:r>
              <w:rPr>
                <w:rFonts w:hint="eastAsia" w:ascii="宋体" w:hAnsi="宋体" w:eastAsia="宋体" w:cs="宋体"/>
                <w:b/>
                <w:i w:val="0"/>
                <w:color w:val="1E1E1E"/>
                <w:kern w:val="0"/>
                <w:sz w:val="20"/>
                <w:szCs w:val="20"/>
                <w:u w:val="none"/>
                <w:lang w:val="en-US" w:eastAsia="zh-CN" w:bidi="ar"/>
              </w:rPr>
              <w:t>一级指标</w:t>
            </w:r>
          </w:p>
        </w:tc>
        <w:tc>
          <w:tcPr>
            <w:tcW w:w="1830" w:type="dxa"/>
            <w:vMerge w:val="restart"/>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E1E1E"/>
                <w:sz w:val="20"/>
                <w:szCs w:val="20"/>
                <w:u w:val="none"/>
              </w:rPr>
            </w:pPr>
            <w:r>
              <w:rPr>
                <w:rFonts w:hint="eastAsia" w:ascii="宋体" w:hAnsi="宋体" w:eastAsia="宋体" w:cs="宋体"/>
                <w:b/>
                <w:i w:val="0"/>
                <w:color w:val="1E1E1E"/>
                <w:kern w:val="0"/>
                <w:sz w:val="20"/>
                <w:szCs w:val="20"/>
                <w:u w:val="none"/>
                <w:lang w:val="en-US" w:eastAsia="zh-CN" w:bidi="ar"/>
              </w:rPr>
              <w:t>二级指标</w:t>
            </w:r>
          </w:p>
        </w:tc>
        <w:tc>
          <w:tcPr>
            <w:tcW w:w="1745" w:type="dxa"/>
            <w:vMerge w:val="restart"/>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E1E1E"/>
                <w:sz w:val="20"/>
                <w:szCs w:val="20"/>
                <w:u w:val="none"/>
              </w:rPr>
            </w:pPr>
            <w:r>
              <w:rPr>
                <w:rFonts w:hint="eastAsia" w:ascii="宋体" w:hAnsi="宋体" w:eastAsia="宋体" w:cs="宋体"/>
                <w:b/>
                <w:i w:val="0"/>
                <w:color w:val="1E1E1E"/>
                <w:kern w:val="0"/>
                <w:sz w:val="20"/>
                <w:szCs w:val="20"/>
                <w:u w:val="none"/>
                <w:lang w:val="en-US" w:eastAsia="zh-CN" w:bidi="ar"/>
              </w:rPr>
              <w:t>三级指标</w:t>
            </w:r>
          </w:p>
        </w:tc>
        <w:tc>
          <w:tcPr>
            <w:tcW w:w="2162" w:type="dxa"/>
            <w:vMerge w:val="restart"/>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E1E1E"/>
                <w:sz w:val="20"/>
                <w:szCs w:val="20"/>
                <w:u w:val="none"/>
              </w:rPr>
            </w:pPr>
            <w:r>
              <w:rPr>
                <w:rFonts w:hint="eastAsia" w:ascii="宋体" w:hAnsi="宋体" w:eastAsia="宋体" w:cs="宋体"/>
                <w:b/>
                <w:i w:val="0"/>
                <w:color w:val="1E1E1E"/>
                <w:kern w:val="0"/>
                <w:sz w:val="20"/>
                <w:szCs w:val="20"/>
                <w:u w:val="none"/>
                <w:lang w:val="en-US" w:eastAsia="zh-CN" w:bidi="ar"/>
              </w:rPr>
              <w:t>绩效指标描述</w:t>
            </w:r>
          </w:p>
        </w:tc>
        <w:tc>
          <w:tcPr>
            <w:tcW w:w="4227" w:type="dxa"/>
            <w:gridSpan w:val="3"/>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E1E1E"/>
                <w:sz w:val="20"/>
                <w:szCs w:val="20"/>
                <w:u w:val="none"/>
              </w:rPr>
            </w:pPr>
            <w:r>
              <w:rPr>
                <w:rFonts w:hint="eastAsia" w:ascii="宋体" w:hAnsi="宋体" w:eastAsia="宋体" w:cs="宋体"/>
                <w:b/>
                <w:i w:val="0"/>
                <w:color w:val="1E1E1E"/>
                <w:kern w:val="0"/>
                <w:sz w:val="20"/>
                <w:szCs w:val="20"/>
                <w:u w:val="none"/>
                <w:lang w:val="en-US" w:eastAsia="zh-CN" w:bidi="ar"/>
              </w:rPr>
              <w:t>指标值</w:t>
            </w:r>
          </w:p>
        </w:tc>
        <w:tc>
          <w:tcPr>
            <w:tcW w:w="1737" w:type="dxa"/>
            <w:vMerge w:val="restart"/>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E1E1E"/>
                <w:sz w:val="20"/>
                <w:szCs w:val="20"/>
                <w:u w:val="none"/>
              </w:rPr>
            </w:pPr>
            <w:r>
              <w:rPr>
                <w:rFonts w:hint="eastAsia" w:ascii="宋体" w:hAnsi="宋体" w:eastAsia="宋体" w:cs="宋体"/>
                <w:b/>
                <w:i w:val="0"/>
                <w:color w:val="1E1E1E"/>
                <w:kern w:val="0"/>
                <w:sz w:val="20"/>
                <w:szCs w:val="20"/>
                <w:u w:val="none"/>
                <w:lang w:val="en-US" w:eastAsia="zh-CN" w:bidi="ar"/>
              </w:rPr>
              <w:t>指标值确定依据</w:t>
            </w:r>
          </w:p>
        </w:tc>
      </w:tr>
      <w:tr>
        <w:tblPrEx>
          <w:tblLayout w:type="fixed"/>
          <w:tblCellMar>
            <w:top w:w="0" w:type="dxa"/>
            <w:left w:w="0" w:type="dxa"/>
            <w:bottom w:w="0" w:type="dxa"/>
            <w:right w:w="0" w:type="dxa"/>
          </w:tblCellMar>
        </w:tblPrEx>
        <w:trPr>
          <w:trHeight w:val="375" w:hRule="atLeast"/>
        </w:trPr>
        <w:tc>
          <w:tcPr>
            <w:tcW w:w="1034" w:type="dxa"/>
            <w:vMerge w:val="continue"/>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b/>
                <w:i w:val="0"/>
                <w:color w:val="1E1E1E"/>
                <w:sz w:val="20"/>
                <w:szCs w:val="20"/>
                <w:u w:val="none"/>
              </w:rPr>
            </w:pPr>
          </w:p>
        </w:tc>
        <w:tc>
          <w:tcPr>
            <w:tcW w:w="1830" w:type="dxa"/>
            <w:vMerge w:val="continue"/>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b/>
                <w:i w:val="0"/>
                <w:color w:val="1E1E1E"/>
                <w:sz w:val="20"/>
                <w:szCs w:val="20"/>
                <w:u w:val="none"/>
              </w:rPr>
            </w:pPr>
          </w:p>
        </w:tc>
        <w:tc>
          <w:tcPr>
            <w:tcW w:w="1745" w:type="dxa"/>
            <w:vMerge w:val="continue"/>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b/>
                <w:i w:val="0"/>
                <w:color w:val="1E1E1E"/>
                <w:sz w:val="20"/>
                <w:szCs w:val="20"/>
                <w:u w:val="none"/>
              </w:rPr>
            </w:pPr>
          </w:p>
        </w:tc>
        <w:tc>
          <w:tcPr>
            <w:tcW w:w="2162" w:type="dxa"/>
            <w:vMerge w:val="continue"/>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b/>
                <w:i w:val="0"/>
                <w:color w:val="1E1E1E"/>
                <w:sz w:val="20"/>
                <w:szCs w:val="20"/>
                <w:u w:val="none"/>
              </w:rPr>
            </w:pPr>
          </w:p>
        </w:tc>
        <w:tc>
          <w:tcPr>
            <w:tcW w:w="130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E1E1E"/>
                <w:sz w:val="20"/>
                <w:szCs w:val="20"/>
                <w:u w:val="none"/>
              </w:rPr>
            </w:pPr>
            <w:r>
              <w:rPr>
                <w:rFonts w:hint="eastAsia" w:ascii="宋体" w:hAnsi="宋体" w:eastAsia="宋体" w:cs="宋体"/>
                <w:b/>
                <w:i w:val="0"/>
                <w:color w:val="1E1E1E"/>
                <w:kern w:val="0"/>
                <w:sz w:val="20"/>
                <w:szCs w:val="20"/>
                <w:u w:val="none"/>
                <w:lang w:val="en-US" w:eastAsia="zh-CN" w:bidi="ar"/>
              </w:rPr>
              <w:t>符号</w:t>
            </w:r>
          </w:p>
        </w:tc>
        <w:tc>
          <w:tcPr>
            <w:tcW w:w="889"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E1E1E"/>
                <w:sz w:val="20"/>
                <w:szCs w:val="20"/>
                <w:u w:val="none"/>
              </w:rPr>
            </w:pPr>
            <w:r>
              <w:rPr>
                <w:rFonts w:hint="eastAsia" w:ascii="宋体" w:hAnsi="宋体" w:eastAsia="宋体" w:cs="宋体"/>
                <w:b/>
                <w:i w:val="0"/>
                <w:color w:val="1E1E1E"/>
                <w:kern w:val="0"/>
                <w:sz w:val="20"/>
                <w:szCs w:val="20"/>
                <w:u w:val="none"/>
                <w:lang w:val="en-US" w:eastAsia="zh-CN" w:bidi="ar"/>
              </w:rPr>
              <w:t>值</w:t>
            </w:r>
          </w:p>
        </w:tc>
        <w:tc>
          <w:tcPr>
            <w:tcW w:w="2033"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E1E1E"/>
                <w:sz w:val="20"/>
                <w:szCs w:val="20"/>
                <w:u w:val="none"/>
              </w:rPr>
            </w:pPr>
            <w:r>
              <w:rPr>
                <w:rFonts w:hint="eastAsia" w:ascii="宋体" w:hAnsi="宋体" w:eastAsia="宋体" w:cs="宋体"/>
                <w:b/>
                <w:i w:val="0"/>
                <w:color w:val="1E1E1E"/>
                <w:kern w:val="0"/>
                <w:sz w:val="20"/>
                <w:szCs w:val="20"/>
                <w:u w:val="none"/>
                <w:lang w:val="en-US" w:eastAsia="zh-CN" w:bidi="ar"/>
              </w:rPr>
              <w:t>单位（文字描述）</w:t>
            </w:r>
          </w:p>
        </w:tc>
        <w:tc>
          <w:tcPr>
            <w:tcW w:w="1737" w:type="dxa"/>
            <w:vMerge w:val="continue"/>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b/>
                <w:i w:val="0"/>
                <w:color w:val="1E1E1E"/>
                <w:sz w:val="20"/>
                <w:szCs w:val="20"/>
                <w:u w:val="none"/>
              </w:rPr>
            </w:pPr>
          </w:p>
        </w:tc>
      </w:tr>
      <w:tr>
        <w:tblPrEx>
          <w:tblLayout w:type="fixed"/>
          <w:tblCellMar>
            <w:top w:w="0" w:type="dxa"/>
            <w:left w:w="0" w:type="dxa"/>
            <w:bottom w:w="0" w:type="dxa"/>
            <w:right w:w="0" w:type="dxa"/>
          </w:tblCellMar>
        </w:tblPrEx>
        <w:trPr>
          <w:trHeight w:val="704" w:hRule="atLeast"/>
        </w:trPr>
        <w:tc>
          <w:tcPr>
            <w:tcW w:w="1034" w:type="dxa"/>
            <w:vMerge w:val="restart"/>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E1E1E"/>
                <w:sz w:val="20"/>
                <w:szCs w:val="20"/>
                <w:u w:val="none"/>
              </w:rPr>
            </w:pPr>
            <w:r>
              <w:rPr>
                <w:rFonts w:hint="eastAsia" w:ascii="宋体" w:hAnsi="宋体" w:eastAsia="宋体" w:cs="宋体"/>
                <w:b/>
                <w:i w:val="0"/>
                <w:color w:val="1E1E1E"/>
                <w:kern w:val="0"/>
                <w:sz w:val="20"/>
                <w:szCs w:val="20"/>
                <w:u w:val="none"/>
                <w:lang w:val="en-US" w:eastAsia="zh-CN" w:bidi="ar"/>
              </w:rPr>
              <w:t>产出指标</w:t>
            </w:r>
          </w:p>
        </w:tc>
        <w:tc>
          <w:tcPr>
            <w:tcW w:w="1830"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数量指标</w:t>
            </w:r>
          </w:p>
        </w:tc>
        <w:tc>
          <w:tcPr>
            <w:tcW w:w="174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案件受理数量</w:t>
            </w:r>
          </w:p>
        </w:tc>
        <w:tc>
          <w:tcPr>
            <w:tcW w:w="2162"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本年度受理仲裁案件的数量</w:t>
            </w:r>
          </w:p>
        </w:tc>
        <w:tc>
          <w:tcPr>
            <w:tcW w:w="130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&gt;=</w:t>
            </w:r>
          </w:p>
        </w:tc>
        <w:tc>
          <w:tcPr>
            <w:tcW w:w="889"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310.00</w:t>
            </w:r>
          </w:p>
        </w:tc>
        <w:tc>
          <w:tcPr>
            <w:tcW w:w="2033"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件</w:t>
            </w:r>
          </w:p>
        </w:tc>
        <w:tc>
          <w:tcPr>
            <w:tcW w:w="1737"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依据近三年案件受理数量的情况测算</w:t>
            </w:r>
          </w:p>
        </w:tc>
      </w:tr>
      <w:tr>
        <w:tblPrEx>
          <w:tblLayout w:type="fixed"/>
          <w:tblCellMar>
            <w:top w:w="0" w:type="dxa"/>
            <w:left w:w="0" w:type="dxa"/>
            <w:bottom w:w="0" w:type="dxa"/>
            <w:right w:w="0" w:type="dxa"/>
          </w:tblCellMar>
        </w:tblPrEx>
        <w:trPr>
          <w:trHeight w:val="855" w:hRule="atLeast"/>
        </w:trPr>
        <w:tc>
          <w:tcPr>
            <w:tcW w:w="1034" w:type="dxa"/>
            <w:vMerge w:val="continue"/>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b/>
                <w:i w:val="0"/>
                <w:color w:val="1E1E1E"/>
                <w:sz w:val="20"/>
                <w:szCs w:val="20"/>
                <w:u w:val="none"/>
              </w:rPr>
            </w:pPr>
          </w:p>
        </w:tc>
        <w:tc>
          <w:tcPr>
            <w:tcW w:w="1830"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质量指标</w:t>
            </w:r>
          </w:p>
        </w:tc>
        <w:tc>
          <w:tcPr>
            <w:tcW w:w="174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市委、市政府部署重点工作质量达标率</w:t>
            </w:r>
          </w:p>
        </w:tc>
        <w:tc>
          <w:tcPr>
            <w:tcW w:w="2162"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市委、市政府部署重点工作是否高质量完成，并达到市领导要求</w:t>
            </w:r>
          </w:p>
        </w:tc>
        <w:tc>
          <w:tcPr>
            <w:tcW w:w="130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&gt;=</w:t>
            </w:r>
          </w:p>
        </w:tc>
        <w:tc>
          <w:tcPr>
            <w:tcW w:w="889"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100.00</w:t>
            </w:r>
          </w:p>
        </w:tc>
        <w:tc>
          <w:tcPr>
            <w:tcW w:w="2033"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百分比</w:t>
            </w:r>
          </w:p>
        </w:tc>
        <w:tc>
          <w:tcPr>
            <w:tcW w:w="1737"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政府规定</w:t>
            </w:r>
          </w:p>
        </w:tc>
      </w:tr>
      <w:tr>
        <w:tblPrEx>
          <w:tblLayout w:type="fixed"/>
          <w:tblCellMar>
            <w:top w:w="0" w:type="dxa"/>
            <w:left w:w="0" w:type="dxa"/>
            <w:bottom w:w="0" w:type="dxa"/>
            <w:right w:w="0" w:type="dxa"/>
          </w:tblCellMar>
        </w:tblPrEx>
        <w:trPr>
          <w:trHeight w:val="855" w:hRule="atLeast"/>
        </w:trPr>
        <w:tc>
          <w:tcPr>
            <w:tcW w:w="1034" w:type="dxa"/>
            <w:vMerge w:val="continue"/>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b/>
                <w:i w:val="0"/>
                <w:color w:val="1E1E1E"/>
                <w:sz w:val="20"/>
                <w:szCs w:val="20"/>
                <w:u w:val="none"/>
              </w:rPr>
            </w:pPr>
          </w:p>
        </w:tc>
        <w:tc>
          <w:tcPr>
            <w:tcW w:w="1830"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质量指标</w:t>
            </w:r>
          </w:p>
        </w:tc>
        <w:tc>
          <w:tcPr>
            <w:tcW w:w="174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市委、市政府部署重点工作及时完成率</w:t>
            </w:r>
          </w:p>
        </w:tc>
        <w:tc>
          <w:tcPr>
            <w:tcW w:w="2162"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市委、市政府部署重点工作是否及时完成，并达到市领导要求</w:t>
            </w:r>
          </w:p>
        </w:tc>
        <w:tc>
          <w:tcPr>
            <w:tcW w:w="130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&gt;=</w:t>
            </w:r>
          </w:p>
        </w:tc>
        <w:tc>
          <w:tcPr>
            <w:tcW w:w="889"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100.00</w:t>
            </w:r>
          </w:p>
        </w:tc>
        <w:tc>
          <w:tcPr>
            <w:tcW w:w="2033"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百分比</w:t>
            </w:r>
          </w:p>
        </w:tc>
        <w:tc>
          <w:tcPr>
            <w:tcW w:w="1737"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政府规定</w:t>
            </w:r>
          </w:p>
        </w:tc>
      </w:tr>
      <w:tr>
        <w:tblPrEx>
          <w:tblLayout w:type="fixed"/>
          <w:tblCellMar>
            <w:top w:w="0" w:type="dxa"/>
            <w:left w:w="0" w:type="dxa"/>
            <w:bottom w:w="0" w:type="dxa"/>
            <w:right w:w="0" w:type="dxa"/>
          </w:tblCellMar>
        </w:tblPrEx>
        <w:trPr>
          <w:trHeight w:val="375" w:hRule="atLeast"/>
        </w:trPr>
        <w:tc>
          <w:tcPr>
            <w:tcW w:w="1034" w:type="dxa"/>
            <w:vMerge w:val="continue"/>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b/>
                <w:i w:val="0"/>
                <w:color w:val="1E1E1E"/>
                <w:sz w:val="20"/>
                <w:szCs w:val="20"/>
                <w:u w:val="none"/>
              </w:rPr>
            </w:pPr>
          </w:p>
        </w:tc>
        <w:tc>
          <w:tcPr>
            <w:tcW w:w="1830"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质量指标</w:t>
            </w:r>
          </w:p>
        </w:tc>
        <w:tc>
          <w:tcPr>
            <w:tcW w:w="174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非税收入完成率</w:t>
            </w:r>
          </w:p>
        </w:tc>
        <w:tc>
          <w:tcPr>
            <w:tcW w:w="2162"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是否按要求上缴非税收入</w:t>
            </w:r>
          </w:p>
        </w:tc>
        <w:tc>
          <w:tcPr>
            <w:tcW w:w="130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&gt;=</w:t>
            </w:r>
          </w:p>
        </w:tc>
        <w:tc>
          <w:tcPr>
            <w:tcW w:w="889"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90.00</w:t>
            </w:r>
          </w:p>
        </w:tc>
        <w:tc>
          <w:tcPr>
            <w:tcW w:w="2033"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百分比</w:t>
            </w:r>
          </w:p>
        </w:tc>
        <w:tc>
          <w:tcPr>
            <w:tcW w:w="1737"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部门规定</w:t>
            </w:r>
          </w:p>
        </w:tc>
      </w:tr>
      <w:tr>
        <w:tblPrEx>
          <w:tblLayout w:type="fixed"/>
          <w:tblCellMar>
            <w:top w:w="0" w:type="dxa"/>
            <w:left w:w="0" w:type="dxa"/>
            <w:bottom w:w="0" w:type="dxa"/>
            <w:right w:w="0" w:type="dxa"/>
          </w:tblCellMar>
        </w:tblPrEx>
        <w:trPr>
          <w:trHeight w:val="855" w:hRule="atLeast"/>
        </w:trPr>
        <w:tc>
          <w:tcPr>
            <w:tcW w:w="1034" w:type="dxa"/>
            <w:vMerge w:val="continue"/>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b/>
                <w:i w:val="0"/>
                <w:color w:val="1E1E1E"/>
                <w:sz w:val="20"/>
                <w:szCs w:val="20"/>
                <w:u w:val="none"/>
              </w:rPr>
            </w:pPr>
          </w:p>
        </w:tc>
        <w:tc>
          <w:tcPr>
            <w:tcW w:w="1830"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质量指标</w:t>
            </w:r>
          </w:p>
        </w:tc>
        <w:tc>
          <w:tcPr>
            <w:tcW w:w="174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部门预决算、绩效目标、自评报告公开情况</w:t>
            </w:r>
          </w:p>
        </w:tc>
        <w:tc>
          <w:tcPr>
            <w:tcW w:w="2162"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部门预决算、绩效目标、自评报告是否按要求公开</w:t>
            </w:r>
          </w:p>
        </w:tc>
        <w:tc>
          <w:tcPr>
            <w:tcW w:w="130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i w:val="0"/>
                <w:color w:val="1E1E1E"/>
                <w:sz w:val="20"/>
                <w:szCs w:val="20"/>
                <w:u w:val="none"/>
              </w:rPr>
            </w:pPr>
          </w:p>
        </w:tc>
        <w:tc>
          <w:tcPr>
            <w:tcW w:w="889"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0.00</w:t>
            </w:r>
          </w:p>
        </w:tc>
        <w:tc>
          <w:tcPr>
            <w:tcW w:w="2033"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i w:val="0"/>
                <w:color w:val="1E1E1E"/>
                <w:sz w:val="20"/>
                <w:szCs w:val="20"/>
                <w:u w:val="none"/>
              </w:rPr>
            </w:pPr>
          </w:p>
        </w:tc>
        <w:tc>
          <w:tcPr>
            <w:tcW w:w="1737"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政府规定</w:t>
            </w:r>
          </w:p>
        </w:tc>
      </w:tr>
      <w:tr>
        <w:tblPrEx>
          <w:tblLayout w:type="fixed"/>
          <w:tblCellMar>
            <w:top w:w="0" w:type="dxa"/>
            <w:left w:w="0" w:type="dxa"/>
            <w:bottom w:w="0" w:type="dxa"/>
            <w:right w:w="0" w:type="dxa"/>
          </w:tblCellMar>
        </w:tblPrEx>
        <w:trPr>
          <w:trHeight w:val="480" w:hRule="atLeast"/>
        </w:trPr>
        <w:tc>
          <w:tcPr>
            <w:tcW w:w="1034" w:type="dxa"/>
            <w:vMerge w:val="continue"/>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b/>
                <w:i w:val="0"/>
                <w:color w:val="1E1E1E"/>
                <w:sz w:val="20"/>
                <w:szCs w:val="20"/>
                <w:u w:val="none"/>
              </w:rPr>
            </w:pPr>
          </w:p>
        </w:tc>
        <w:tc>
          <w:tcPr>
            <w:tcW w:w="1830"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时效指标</w:t>
            </w:r>
          </w:p>
        </w:tc>
        <w:tc>
          <w:tcPr>
            <w:tcW w:w="174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案件完成时效</w:t>
            </w:r>
          </w:p>
        </w:tc>
        <w:tc>
          <w:tcPr>
            <w:tcW w:w="2162"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对仲裁案件的事项按规定时限完成</w:t>
            </w:r>
          </w:p>
        </w:tc>
        <w:tc>
          <w:tcPr>
            <w:tcW w:w="130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&gt;=</w:t>
            </w:r>
          </w:p>
        </w:tc>
        <w:tc>
          <w:tcPr>
            <w:tcW w:w="889"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90.00</w:t>
            </w:r>
          </w:p>
        </w:tc>
        <w:tc>
          <w:tcPr>
            <w:tcW w:w="2033"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百分比</w:t>
            </w:r>
          </w:p>
        </w:tc>
        <w:tc>
          <w:tcPr>
            <w:tcW w:w="1737"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部门规定</w:t>
            </w:r>
          </w:p>
        </w:tc>
      </w:tr>
      <w:tr>
        <w:tblPrEx>
          <w:tblLayout w:type="fixed"/>
          <w:tblCellMar>
            <w:top w:w="0" w:type="dxa"/>
            <w:left w:w="0" w:type="dxa"/>
            <w:bottom w:w="0" w:type="dxa"/>
            <w:right w:w="0" w:type="dxa"/>
          </w:tblCellMar>
        </w:tblPrEx>
        <w:trPr>
          <w:trHeight w:val="855" w:hRule="atLeast"/>
        </w:trPr>
        <w:tc>
          <w:tcPr>
            <w:tcW w:w="1034" w:type="dxa"/>
            <w:vMerge w:val="continue"/>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b/>
                <w:i w:val="0"/>
                <w:color w:val="1E1E1E"/>
                <w:sz w:val="20"/>
                <w:szCs w:val="20"/>
                <w:u w:val="none"/>
              </w:rPr>
            </w:pPr>
          </w:p>
        </w:tc>
        <w:tc>
          <w:tcPr>
            <w:tcW w:w="1830"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时效指标</w:t>
            </w:r>
          </w:p>
        </w:tc>
        <w:tc>
          <w:tcPr>
            <w:tcW w:w="174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中央、省、市要求完成的重点工作时效</w:t>
            </w:r>
          </w:p>
        </w:tc>
        <w:tc>
          <w:tcPr>
            <w:tcW w:w="2162"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中央、省、市要求完成的重点工作是否在规定时间内完成</w:t>
            </w:r>
          </w:p>
        </w:tc>
        <w:tc>
          <w:tcPr>
            <w:tcW w:w="130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i w:val="0"/>
                <w:color w:val="1E1E1E"/>
                <w:sz w:val="20"/>
                <w:szCs w:val="20"/>
                <w:u w:val="none"/>
              </w:rPr>
            </w:pPr>
          </w:p>
        </w:tc>
        <w:tc>
          <w:tcPr>
            <w:tcW w:w="889"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0.00</w:t>
            </w:r>
          </w:p>
        </w:tc>
        <w:tc>
          <w:tcPr>
            <w:tcW w:w="2033"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i w:val="0"/>
                <w:color w:val="1E1E1E"/>
                <w:sz w:val="20"/>
                <w:szCs w:val="20"/>
                <w:u w:val="none"/>
              </w:rPr>
            </w:pPr>
          </w:p>
        </w:tc>
        <w:tc>
          <w:tcPr>
            <w:tcW w:w="1737"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政府规定</w:t>
            </w:r>
          </w:p>
        </w:tc>
      </w:tr>
      <w:tr>
        <w:tblPrEx>
          <w:tblLayout w:type="fixed"/>
          <w:tblCellMar>
            <w:top w:w="0" w:type="dxa"/>
            <w:left w:w="0" w:type="dxa"/>
            <w:bottom w:w="0" w:type="dxa"/>
            <w:right w:w="0" w:type="dxa"/>
          </w:tblCellMar>
        </w:tblPrEx>
        <w:trPr>
          <w:trHeight w:val="480" w:hRule="atLeast"/>
        </w:trPr>
        <w:tc>
          <w:tcPr>
            <w:tcW w:w="1034" w:type="dxa"/>
            <w:vMerge w:val="restart"/>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E1E1E"/>
                <w:sz w:val="20"/>
                <w:szCs w:val="20"/>
                <w:u w:val="none"/>
              </w:rPr>
            </w:pPr>
            <w:r>
              <w:rPr>
                <w:rFonts w:hint="eastAsia" w:ascii="宋体" w:hAnsi="宋体" w:eastAsia="宋体" w:cs="宋体"/>
                <w:b/>
                <w:i w:val="0"/>
                <w:color w:val="1E1E1E"/>
                <w:kern w:val="0"/>
                <w:sz w:val="20"/>
                <w:szCs w:val="20"/>
                <w:u w:val="none"/>
                <w:lang w:val="en-US" w:eastAsia="zh-CN" w:bidi="ar"/>
              </w:rPr>
              <w:t>效果指标</w:t>
            </w:r>
          </w:p>
        </w:tc>
        <w:tc>
          <w:tcPr>
            <w:tcW w:w="1830"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经济效益指标</w:t>
            </w:r>
          </w:p>
        </w:tc>
        <w:tc>
          <w:tcPr>
            <w:tcW w:w="174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案件调解率比率</w:t>
            </w:r>
          </w:p>
        </w:tc>
        <w:tc>
          <w:tcPr>
            <w:tcW w:w="2162"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案件调解数量占案件总数的比例</w:t>
            </w:r>
          </w:p>
        </w:tc>
        <w:tc>
          <w:tcPr>
            <w:tcW w:w="130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&gt;=</w:t>
            </w:r>
          </w:p>
        </w:tc>
        <w:tc>
          <w:tcPr>
            <w:tcW w:w="889"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20.00</w:t>
            </w:r>
          </w:p>
        </w:tc>
        <w:tc>
          <w:tcPr>
            <w:tcW w:w="2033"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百分比</w:t>
            </w:r>
          </w:p>
        </w:tc>
        <w:tc>
          <w:tcPr>
            <w:tcW w:w="1737"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依据近三年案件调解的情况测算</w:t>
            </w:r>
          </w:p>
        </w:tc>
      </w:tr>
      <w:tr>
        <w:tblPrEx>
          <w:tblLayout w:type="fixed"/>
          <w:tblCellMar>
            <w:top w:w="0" w:type="dxa"/>
            <w:left w:w="0" w:type="dxa"/>
            <w:bottom w:w="0" w:type="dxa"/>
            <w:right w:w="0" w:type="dxa"/>
          </w:tblCellMar>
        </w:tblPrEx>
        <w:trPr>
          <w:trHeight w:val="1215" w:hRule="atLeast"/>
        </w:trPr>
        <w:tc>
          <w:tcPr>
            <w:tcW w:w="1034" w:type="dxa"/>
            <w:vMerge w:val="continue"/>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b/>
                <w:i w:val="0"/>
                <w:color w:val="1E1E1E"/>
                <w:sz w:val="20"/>
                <w:szCs w:val="20"/>
                <w:u w:val="none"/>
              </w:rPr>
            </w:pPr>
          </w:p>
        </w:tc>
        <w:tc>
          <w:tcPr>
            <w:tcW w:w="1830"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社会效益指标</w:t>
            </w:r>
          </w:p>
        </w:tc>
        <w:tc>
          <w:tcPr>
            <w:tcW w:w="174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优化营商环境，维护社会稳定和谐发展</w:t>
            </w:r>
          </w:p>
        </w:tc>
        <w:tc>
          <w:tcPr>
            <w:tcW w:w="2162"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加强各部门联合协作，实行优势互补，推进邯郸仲裁事业高效优质发展，优化营商环境，促进本市繁荣和谐发展</w:t>
            </w:r>
          </w:p>
        </w:tc>
        <w:tc>
          <w:tcPr>
            <w:tcW w:w="130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i w:val="0"/>
                <w:color w:val="1E1E1E"/>
                <w:sz w:val="20"/>
                <w:szCs w:val="20"/>
                <w:u w:val="none"/>
              </w:rPr>
            </w:pPr>
          </w:p>
        </w:tc>
        <w:tc>
          <w:tcPr>
            <w:tcW w:w="889"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0.00</w:t>
            </w:r>
          </w:p>
        </w:tc>
        <w:tc>
          <w:tcPr>
            <w:tcW w:w="2033"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i w:val="0"/>
                <w:color w:val="1E1E1E"/>
                <w:sz w:val="20"/>
                <w:szCs w:val="20"/>
                <w:u w:val="none"/>
              </w:rPr>
            </w:pPr>
          </w:p>
        </w:tc>
        <w:tc>
          <w:tcPr>
            <w:tcW w:w="1737"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部门规定</w:t>
            </w:r>
          </w:p>
        </w:tc>
      </w:tr>
      <w:tr>
        <w:tblPrEx>
          <w:tblLayout w:type="fixed"/>
          <w:tblCellMar>
            <w:top w:w="0" w:type="dxa"/>
            <w:left w:w="0" w:type="dxa"/>
            <w:bottom w:w="0" w:type="dxa"/>
            <w:right w:w="0" w:type="dxa"/>
          </w:tblCellMar>
        </w:tblPrEx>
        <w:trPr>
          <w:trHeight w:val="1035" w:hRule="atLeast"/>
        </w:trPr>
        <w:tc>
          <w:tcPr>
            <w:tcW w:w="1034" w:type="dxa"/>
            <w:vMerge w:val="continue"/>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b/>
                <w:i w:val="0"/>
                <w:color w:val="1E1E1E"/>
                <w:sz w:val="20"/>
                <w:szCs w:val="20"/>
                <w:u w:val="none"/>
              </w:rPr>
            </w:pPr>
          </w:p>
        </w:tc>
        <w:tc>
          <w:tcPr>
            <w:tcW w:w="1830"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可持续影响指标</w:t>
            </w:r>
          </w:p>
        </w:tc>
        <w:tc>
          <w:tcPr>
            <w:tcW w:w="174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协调多行业、多形式、多层次、多方位的仲裁发展，优化经济环境</w:t>
            </w:r>
          </w:p>
        </w:tc>
        <w:tc>
          <w:tcPr>
            <w:tcW w:w="2162"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组织各方面力量，调动各方面积极因素，实现邯郸仲裁优质发展，优化经济发展环境</w:t>
            </w:r>
          </w:p>
        </w:tc>
        <w:tc>
          <w:tcPr>
            <w:tcW w:w="130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i w:val="0"/>
                <w:color w:val="1E1E1E"/>
                <w:sz w:val="20"/>
                <w:szCs w:val="20"/>
                <w:u w:val="none"/>
              </w:rPr>
            </w:pPr>
          </w:p>
        </w:tc>
        <w:tc>
          <w:tcPr>
            <w:tcW w:w="889"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0.00</w:t>
            </w:r>
          </w:p>
        </w:tc>
        <w:tc>
          <w:tcPr>
            <w:tcW w:w="2033"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i w:val="0"/>
                <w:color w:val="1E1E1E"/>
                <w:sz w:val="20"/>
                <w:szCs w:val="20"/>
                <w:u w:val="none"/>
              </w:rPr>
            </w:pPr>
          </w:p>
        </w:tc>
        <w:tc>
          <w:tcPr>
            <w:tcW w:w="1737"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部门规定</w:t>
            </w:r>
          </w:p>
        </w:tc>
      </w:tr>
      <w:tr>
        <w:tblPrEx>
          <w:tblLayout w:type="fixed"/>
          <w:tblCellMar>
            <w:top w:w="0" w:type="dxa"/>
            <w:left w:w="0" w:type="dxa"/>
            <w:bottom w:w="0" w:type="dxa"/>
            <w:right w:w="0" w:type="dxa"/>
          </w:tblCellMar>
        </w:tblPrEx>
        <w:trPr>
          <w:trHeight w:val="500" w:hRule="atLeast"/>
        </w:trPr>
        <w:tc>
          <w:tcPr>
            <w:tcW w:w="1034" w:type="dxa"/>
            <w:vMerge w:val="restart"/>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E1E1E"/>
                <w:sz w:val="20"/>
                <w:szCs w:val="20"/>
                <w:u w:val="none"/>
              </w:rPr>
            </w:pPr>
            <w:r>
              <w:rPr>
                <w:rFonts w:hint="eastAsia" w:ascii="宋体" w:hAnsi="宋体" w:eastAsia="宋体" w:cs="宋体"/>
                <w:b/>
                <w:i w:val="0"/>
                <w:color w:val="1E1E1E"/>
                <w:kern w:val="0"/>
                <w:sz w:val="20"/>
                <w:szCs w:val="20"/>
                <w:u w:val="none"/>
                <w:lang w:val="en-US" w:eastAsia="zh-CN" w:bidi="ar"/>
              </w:rPr>
              <w:t>满意度指标</w:t>
            </w:r>
          </w:p>
        </w:tc>
        <w:tc>
          <w:tcPr>
            <w:tcW w:w="1830"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服务对象满意度指标</w:t>
            </w:r>
          </w:p>
        </w:tc>
        <w:tc>
          <w:tcPr>
            <w:tcW w:w="174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仲裁当事人</w:t>
            </w:r>
          </w:p>
        </w:tc>
        <w:tc>
          <w:tcPr>
            <w:tcW w:w="2162"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仲裁当事人撤裁的案件数量占总仲裁案件的数量</w:t>
            </w:r>
          </w:p>
        </w:tc>
        <w:tc>
          <w:tcPr>
            <w:tcW w:w="130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&lt;=</w:t>
            </w:r>
          </w:p>
        </w:tc>
        <w:tc>
          <w:tcPr>
            <w:tcW w:w="889"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5.00</w:t>
            </w:r>
          </w:p>
        </w:tc>
        <w:tc>
          <w:tcPr>
            <w:tcW w:w="2033"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百分比</w:t>
            </w:r>
          </w:p>
        </w:tc>
        <w:tc>
          <w:tcPr>
            <w:tcW w:w="1737"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依据近三年仲裁案件当事人满意程度测算</w:t>
            </w:r>
          </w:p>
        </w:tc>
      </w:tr>
      <w:tr>
        <w:tblPrEx>
          <w:tblLayout w:type="fixed"/>
          <w:tblCellMar>
            <w:top w:w="0" w:type="dxa"/>
            <w:left w:w="0" w:type="dxa"/>
            <w:bottom w:w="0" w:type="dxa"/>
            <w:right w:w="0" w:type="dxa"/>
          </w:tblCellMar>
        </w:tblPrEx>
        <w:trPr>
          <w:trHeight w:val="480" w:hRule="atLeast"/>
        </w:trPr>
        <w:tc>
          <w:tcPr>
            <w:tcW w:w="1034" w:type="dxa"/>
            <w:vMerge w:val="continue"/>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b/>
                <w:i w:val="0"/>
                <w:color w:val="1E1E1E"/>
                <w:sz w:val="20"/>
                <w:szCs w:val="20"/>
                <w:u w:val="none"/>
              </w:rPr>
            </w:pPr>
          </w:p>
        </w:tc>
        <w:tc>
          <w:tcPr>
            <w:tcW w:w="1830"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服务对象满意度指标</w:t>
            </w:r>
          </w:p>
        </w:tc>
        <w:tc>
          <w:tcPr>
            <w:tcW w:w="174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仲裁员和书记员培训</w:t>
            </w:r>
          </w:p>
        </w:tc>
        <w:tc>
          <w:tcPr>
            <w:tcW w:w="2162"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定期对仲裁员和书记员进行培训和专题讲座活动</w:t>
            </w:r>
          </w:p>
        </w:tc>
        <w:tc>
          <w:tcPr>
            <w:tcW w:w="130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&gt;=</w:t>
            </w:r>
          </w:p>
        </w:tc>
        <w:tc>
          <w:tcPr>
            <w:tcW w:w="889"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1.00</w:t>
            </w:r>
          </w:p>
        </w:tc>
        <w:tc>
          <w:tcPr>
            <w:tcW w:w="2033"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次</w:t>
            </w:r>
          </w:p>
        </w:tc>
        <w:tc>
          <w:tcPr>
            <w:tcW w:w="1737"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E1E1E"/>
                <w:sz w:val="20"/>
                <w:szCs w:val="20"/>
                <w:u w:val="none"/>
              </w:rPr>
            </w:pPr>
            <w:r>
              <w:rPr>
                <w:rFonts w:hint="eastAsia" w:ascii="宋体" w:hAnsi="宋体" w:eastAsia="宋体" w:cs="宋体"/>
                <w:i w:val="0"/>
                <w:color w:val="1E1E1E"/>
                <w:kern w:val="0"/>
                <w:sz w:val="20"/>
                <w:szCs w:val="20"/>
                <w:u w:val="none"/>
                <w:lang w:val="en-US" w:eastAsia="zh-CN" w:bidi="ar"/>
              </w:rPr>
              <w:t>部门规定</w:t>
            </w:r>
          </w:p>
        </w:tc>
      </w:tr>
      <w:tr>
        <w:tblPrEx>
          <w:tblLayout w:type="fixed"/>
          <w:tblCellMar>
            <w:top w:w="0" w:type="dxa"/>
            <w:left w:w="0" w:type="dxa"/>
            <w:bottom w:w="0" w:type="dxa"/>
            <w:right w:w="0" w:type="dxa"/>
          </w:tblCellMar>
        </w:tblPrEx>
        <w:trPr>
          <w:trHeight w:val="375" w:hRule="atLeast"/>
        </w:trPr>
        <w:tc>
          <w:tcPr>
            <w:tcW w:w="1034" w:type="dxa"/>
            <w:vMerge w:val="continue"/>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center"/>
              <w:rPr>
                <w:rFonts w:hint="eastAsia" w:ascii="宋体" w:hAnsi="宋体" w:eastAsia="宋体" w:cs="宋体"/>
                <w:b/>
                <w:i w:val="0"/>
                <w:color w:val="1E1E1E"/>
                <w:sz w:val="20"/>
                <w:szCs w:val="20"/>
                <w:u w:val="none"/>
              </w:rPr>
            </w:pPr>
          </w:p>
        </w:tc>
        <w:tc>
          <w:tcPr>
            <w:tcW w:w="1830"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rPr>
                <w:rFonts w:hint="eastAsia" w:ascii="宋体" w:hAnsi="宋体" w:eastAsia="宋体" w:cs="宋体"/>
                <w:i w:val="0"/>
                <w:color w:val="1E1E1E"/>
                <w:sz w:val="20"/>
                <w:szCs w:val="20"/>
                <w:u w:val="none"/>
              </w:rPr>
            </w:pPr>
          </w:p>
        </w:tc>
        <w:tc>
          <w:tcPr>
            <w:tcW w:w="174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rPr>
                <w:rFonts w:hint="eastAsia" w:ascii="宋体" w:hAnsi="宋体" w:eastAsia="宋体" w:cs="宋体"/>
                <w:i w:val="0"/>
                <w:color w:val="1E1E1E"/>
                <w:sz w:val="20"/>
                <w:szCs w:val="20"/>
                <w:u w:val="none"/>
              </w:rPr>
            </w:pPr>
          </w:p>
        </w:tc>
        <w:tc>
          <w:tcPr>
            <w:tcW w:w="2162"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rPr>
                <w:rFonts w:hint="eastAsia" w:ascii="宋体" w:hAnsi="宋体" w:eastAsia="宋体" w:cs="宋体"/>
                <w:i w:val="0"/>
                <w:color w:val="1E1E1E"/>
                <w:sz w:val="20"/>
                <w:szCs w:val="20"/>
                <w:u w:val="none"/>
              </w:rPr>
            </w:pPr>
          </w:p>
        </w:tc>
        <w:tc>
          <w:tcPr>
            <w:tcW w:w="1305"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rPr>
                <w:rFonts w:hint="eastAsia" w:ascii="宋体" w:hAnsi="宋体" w:eastAsia="宋体" w:cs="宋体"/>
                <w:i w:val="0"/>
                <w:color w:val="1E1E1E"/>
                <w:sz w:val="20"/>
                <w:szCs w:val="20"/>
                <w:u w:val="none"/>
              </w:rPr>
            </w:pPr>
          </w:p>
        </w:tc>
        <w:tc>
          <w:tcPr>
            <w:tcW w:w="889"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jc w:val="right"/>
              <w:rPr>
                <w:rFonts w:hint="eastAsia" w:ascii="宋体" w:hAnsi="宋体" w:eastAsia="宋体" w:cs="宋体"/>
                <w:i w:val="0"/>
                <w:color w:val="1E1E1E"/>
                <w:sz w:val="20"/>
                <w:szCs w:val="20"/>
                <w:u w:val="none"/>
              </w:rPr>
            </w:pPr>
          </w:p>
        </w:tc>
        <w:tc>
          <w:tcPr>
            <w:tcW w:w="2033"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rPr>
                <w:rFonts w:hint="eastAsia" w:ascii="宋体" w:hAnsi="宋体" w:eastAsia="宋体" w:cs="宋体"/>
                <w:i w:val="0"/>
                <w:color w:val="1E1E1E"/>
                <w:sz w:val="20"/>
                <w:szCs w:val="20"/>
                <w:u w:val="none"/>
              </w:rPr>
            </w:pPr>
          </w:p>
        </w:tc>
        <w:tc>
          <w:tcPr>
            <w:tcW w:w="1737" w:type="dxa"/>
            <w:tcBorders>
              <w:top w:val="single" w:color="1E1E1E" w:sz="4" w:space="0"/>
              <w:left w:val="single" w:color="1E1E1E" w:sz="4" w:space="0"/>
              <w:bottom w:val="single" w:color="1E1E1E" w:sz="4" w:space="0"/>
              <w:right w:val="single" w:color="1E1E1E" w:sz="4" w:space="0"/>
            </w:tcBorders>
            <w:tcMar>
              <w:top w:w="15" w:type="dxa"/>
              <w:left w:w="15" w:type="dxa"/>
              <w:right w:w="15" w:type="dxa"/>
            </w:tcMar>
            <w:vAlign w:val="center"/>
          </w:tcPr>
          <w:p>
            <w:pPr>
              <w:rPr>
                <w:rFonts w:hint="eastAsia" w:ascii="宋体" w:hAnsi="宋体" w:eastAsia="宋体" w:cs="宋体"/>
                <w:i w:val="0"/>
                <w:color w:val="1E1E1E"/>
                <w:sz w:val="20"/>
                <w:szCs w:val="20"/>
                <w:u w:val="none"/>
              </w:rPr>
            </w:pPr>
          </w:p>
        </w:tc>
      </w:tr>
    </w:tbl>
    <w:p>
      <w:pPr>
        <w:autoSpaceDE w:val="0"/>
        <w:autoSpaceDN w:val="0"/>
        <w:adjustRightInd w:val="0"/>
        <w:ind w:left="200"/>
        <w:jc w:val="left"/>
        <w:rPr>
          <w:rFonts w:ascii="宋体" w:cs="宋体"/>
          <w:kern w:val="0"/>
          <w:sz w:val="18"/>
          <w:szCs w:val="18"/>
          <w:lang w:val="zh-CN"/>
        </w:rPr>
      </w:pPr>
    </w:p>
    <w:p>
      <w:pPr>
        <w:ind w:firstLine="640"/>
        <w:rPr>
          <w:rFonts w:hint="eastAsia" w:ascii="黑体" w:hAnsi="黑体" w:eastAsia="黑体" w:cs="Times New Roman"/>
          <w:sz w:val="32"/>
          <w:szCs w:val="32"/>
        </w:rPr>
      </w:pPr>
      <w:r>
        <w:rPr>
          <w:rFonts w:hint="eastAsia" w:ascii="黑体" w:hAnsi="黑体" w:eastAsia="黑体" w:cs="Times New Roman"/>
          <w:sz w:val="32"/>
          <w:szCs w:val="32"/>
        </w:rPr>
        <w:t>六、政府采购预算情况</w:t>
      </w:r>
    </w:p>
    <w:p>
      <w:pPr>
        <w:outlineLvl w:val="0"/>
        <w:rPr>
          <w:rFonts w:hint="eastAsia" w:ascii="仿宋_GB2312" w:hAnsi="Times New Roman" w:eastAsia="仿宋_GB2312" w:cs="Times New Roman"/>
          <w:sz w:val="32"/>
          <w:szCs w:val="24"/>
        </w:rPr>
      </w:pPr>
      <w:bookmarkStart w:id="1" w:name="_Toc471398468"/>
      <w:r>
        <w:rPr>
          <w:rFonts w:ascii="Times New Roman" w:hAnsi="Times New Roman" w:eastAsia="方正仿宋_GBK" w:cs="Times New Roman"/>
          <w:sz w:val="32"/>
          <w:szCs w:val="24"/>
        </w:rPr>
        <w:t xml:space="preserve">  </w:t>
      </w:r>
      <w:r>
        <w:rPr>
          <w:rFonts w:hint="eastAsia" w:ascii="仿宋_GB2312" w:hAnsi="Times New Roman" w:eastAsia="仿宋_GB2312" w:cs="Times New Roman"/>
          <w:sz w:val="32"/>
          <w:szCs w:val="24"/>
        </w:rPr>
        <w:t xml:space="preserve"> 20</w:t>
      </w:r>
      <w:r>
        <w:rPr>
          <w:rFonts w:hint="eastAsia" w:ascii="仿宋_GB2312" w:hAnsi="Times New Roman" w:eastAsia="仿宋_GB2312" w:cs="Times New Roman"/>
          <w:sz w:val="32"/>
          <w:szCs w:val="24"/>
          <w:lang w:val="en-US" w:eastAsia="zh-CN"/>
        </w:rPr>
        <w:t>20</w:t>
      </w:r>
      <w:r>
        <w:rPr>
          <w:rFonts w:hint="eastAsia" w:ascii="仿宋_GB2312" w:hAnsi="Times New Roman" w:eastAsia="仿宋_GB2312" w:cs="Times New Roman"/>
          <w:sz w:val="32"/>
          <w:szCs w:val="24"/>
        </w:rPr>
        <w:t>年，本部门安排零星采购0.58万元,未列入政府采购预算。</w:t>
      </w:r>
    </w:p>
    <w:p>
      <w:pPr>
        <w:jc w:val="center"/>
        <w:outlineLvl w:val="0"/>
        <w:rPr>
          <w:rFonts w:hint="eastAsia" w:ascii="方正小标宋_GBK" w:hAnsi="Times New Roman" w:eastAsia="方正小标宋_GBK" w:cs="Times New Roman"/>
          <w:sz w:val="32"/>
          <w:szCs w:val="24"/>
        </w:rPr>
      </w:pPr>
    </w:p>
    <w:p>
      <w:pPr>
        <w:jc w:val="center"/>
        <w:outlineLvl w:val="0"/>
        <w:rPr>
          <w:rFonts w:hint="eastAsia" w:ascii="方正小标宋_GBK" w:hAnsi="Times New Roman" w:eastAsia="方正小标宋_GBK" w:cs="Times New Roman"/>
          <w:sz w:val="32"/>
          <w:szCs w:val="24"/>
        </w:rPr>
      </w:pPr>
    </w:p>
    <w:p>
      <w:pPr>
        <w:jc w:val="center"/>
        <w:outlineLvl w:val="0"/>
        <w:rPr>
          <w:rFonts w:hint="eastAsia" w:ascii="方正小标宋_GBK" w:hAnsi="Times New Roman" w:eastAsia="方正小标宋_GBK" w:cs="Times New Roman"/>
          <w:sz w:val="32"/>
          <w:szCs w:val="24"/>
        </w:rPr>
      </w:pPr>
    </w:p>
    <w:bookmarkEnd w:id="1"/>
    <w:p>
      <w:pPr>
        <w:autoSpaceDE w:val="0"/>
        <w:autoSpaceDN w:val="0"/>
        <w:adjustRightInd w:val="0"/>
        <w:jc w:val="left"/>
        <w:rPr>
          <w:rFonts w:hint="eastAsia" w:ascii="黑体" w:hAnsi="黑体" w:eastAsia="黑体" w:cs="Times New Roman"/>
          <w:sz w:val="32"/>
          <w:szCs w:val="32"/>
        </w:rPr>
      </w:pPr>
    </w:p>
    <w:p>
      <w:pPr>
        <w:ind w:firstLine="640"/>
        <w:rPr>
          <w:rFonts w:hint="eastAsia"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邯郸仲裁委员会部门(含所属单位)上年末固定资产金额为147.85万元，本年度本部门零星采购0</w:t>
      </w:r>
      <w:r>
        <w:rPr>
          <w:rFonts w:ascii="仿宋_GB2312" w:hAnsi="黑体" w:eastAsia="仿宋_GB2312" w:cs="Times New Roman"/>
          <w:sz w:val="32"/>
          <w:szCs w:val="32"/>
        </w:rPr>
        <w:t>.58</w:t>
      </w:r>
      <w:r>
        <w:rPr>
          <w:rFonts w:hint="eastAsia" w:ascii="仿宋_GB2312" w:hAnsi="黑体" w:eastAsia="仿宋_GB2312" w:cs="Times New Roman"/>
          <w:sz w:val="32"/>
          <w:szCs w:val="32"/>
        </w:rPr>
        <w:t>万元，未列入政府采购预算。详见下表。</w:t>
      </w:r>
    </w:p>
    <w:p>
      <w:pPr>
        <w:rPr>
          <w:rFonts w:ascii="仿宋_GB2312" w:hAnsi="黑体" w:eastAsia="仿宋_GB2312" w:cs="Times New Roman"/>
          <w:color w:val="FF0000"/>
          <w:sz w:val="32"/>
          <w:szCs w:val="32"/>
        </w:rPr>
      </w:pPr>
    </w:p>
    <w:tbl>
      <w:tblPr>
        <w:tblStyle w:val="3"/>
        <w:tblW w:w="11464" w:type="dxa"/>
        <w:tblInd w:w="945" w:type="dxa"/>
        <w:tblLayout w:type="fixed"/>
        <w:tblCellMar>
          <w:top w:w="0" w:type="dxa"/>
          <w:left w:w="108" w:type="dxa"/>
          <w:bottom w:w="0" w:type="dxa"/>
          <w:right w:w="108" w:type="dxa"/>
        </w:tblCellMar>
      </w:tblPr>
      <w:tblGrid>
        <w:gridCol w:w="3514"/>
        <w:gridCol w:w="2775"/>
        <w:gridCol w:w="5159"/>
        <w:gridCol w:w="16"/>
      </w:tblGrid>
      <w:tr>
        <w:tblPrEx>
          <w:tblLayout w:type="fixed"/>
          <w:tblCellMar>
            <w:top w:w="0" w:type="dxa"/>
            <w:left w:w="108" w:type="dxa"/>
            <w:bottom w:w="0" w:type="dxa"/>
            <w:right w:w="108" w:type="dxa"/>
          </w:tblCellMar>
        </w:tblPrEx>
        <w:trPr>
          <w:gridAfter w:val="1"/>
          <w:wAfter w:w="16" w:type="dxa"/>
          <w:trHeight w:val="705" w:hRule="atLeast"/>
        </w:trPr>
        <w:tc>
          <w:tcPr>
            <w:tcW w:w="11448" w:type="dxa"/>
            <w:gridSpan w:val="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部门固定资产占用情况表</w:t>
            </w:r>
          </w:p>
        </w:tc>
      </w:tr>
      <w:tr>
        <w:tblPrEx>
          <w:tblLayout w:type="fixed"/>
          <w:tblCellMar>
            <w:top w:w="0" w:type="dxa"/>
            <w:left w:w="108" w:type="dxa"/>
            <w:bottom w:w="0" w:type="dxa"/>
            <w:right w:w="108" w:type="dxa"/>
          </w:tblCellMar>
        </w:tblPrEx>
        <w:trPr>
          <w:gridAfter w:val="1"/>
          <w:wAfter w:w="16" w:type="dxa"/>
          <w:trHeight w:val="510" w:hRule="atLeast"/>
        </w:trPr>
        <w:tc>
          <w:tcPr>
            <w:tcW w:w="6289" w:type="dxa"/>
            <w:gridSpan w:val="2"/>
            <w:tcBorders>
              <w:top w:val="nil"/>
              <w:left w:val="nil"/>
              <w:bottom w:val="nil"/>
              <w:right w:val="nil"/>
            </w:tcBorders>
            <w:vAlign w:val="center"/>
          </w:tcPr>
          <w:p>
            <w:pPr>
              <w:widowControl/>
              <w:rPr>
                <w:rFonts w:ascii="宋体" w:hAnsi="宋体" w:cs="宋体"/>
                <w:kern w:val="0"/>
                <w:sz w:val="22"/>
              </w:rPr>
            </w:pPr>
            <w:r>
              <w:rPr>
                <w:rFonts w:hint="eastAsia" w:ascii="宋体" w:hAnsi="宋体" w:cs="宋体"/>
                <w:kern w:val="0"/>
                <w:sz w:val="22"/>
              </w:rPr>
              <w:t>编制部门：邯郸仲裁委员会</w:t>
            </w:r>
          </w:p>
        </w:tc>
        <w:tc>
          <w:tcPr>
            <w:tcW w:w="5159" w:type="dxa"/>
            <w:tcBorders>
              <w:top w:val="nil"/>
              <w:left w:val="nil"/>
              <w:bottom w:val="nil"/>
              <w:right w:val="nil"/>
            </w:tcBorders>
            <w:vAlign w:val="center"/>
          </w:tcPr>
          <w:p>
            <w:pPr>
              <w:widowControl/>
              <w:ind w:firstLine="550" w:firstLineChars="250"/>
              <w:rPr>
                <w:rFonts w:ascii="宋体" w:hAnsi="宋体" w:cs="宋体"/>
                <w:kern w:val="0"/>
                <w:sz w:val="22"/>
              </w:rPr>
            </w:pPr>
            <w:r>
              <w:rPr>
                <w:rFonts w:hint="eastAsia" w:ascii="宋体" w:hAnsi="宋体" w:cs="宋体"/>
                <w:kern w:val="0"/>
                <w:sz w:val="22"/>
              </w:rPr>
              <w:t>截止时间：201</w:t>
            </w:r>
            <w:r>
              <w:rPr>
                <w:rFonts w:hint="eastAsia" w:ascii="宋体" w:hAnsi="宋体" w:cs="宋体"/>
                <w:kern w:val="0"/>
                <w:sz w:val="22"/>
                <w:lang w:val="en-US" w:eastAsia="zh-CN"/>
              </w:rPr>
              <w:t>9</w:t>
            </w:r>
            <w:r>
              <w:rPr>
                <w:rFonts w:hint="eastAsia" w:ascii="宋体" w:hAnsi="宋体" w:cs="宋体"/>
                <w:kern w:val="0"/>
                <w:sz w:val="22"/>
              </w:rPr>
              <w:t>年12月31日</w:t>
            </w:r>
          </w:p>
        </w:tc>
      </w:tr>
      <w:tr>
        <w:tblPrEx>
          <w:tblLayout w:type="fixed"/>
          <w:tblCellMar>
            <w:top w:w="0" w:type="dxa"/>
            <w:left w:w="108" w:type="dxa"/>
            <w:bottom w:w="0" w:type="dxa"/>
            <w:right w:w="108" w:type="dxa"/>
          </w:tblCellMar>
        </w:tblPrEx>
        <w:trPr>
          <w:trHeight w:val="645" w:hRule="atLeast"/>
        </w:trPr>
        <w:tc>
          <w:tcPr>
            <w:tcW w:w="35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   目</w:t>
            </w:r>
          </w:p>
        </w:tc>
        <w:tc>
          <w:tcPr>
            <w:tcW w:w="27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7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351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资产总额</w:t>
            </w:r>
          </w:p>
        </w:tc>
        <w:tc>
          <w:tcPr>
            <w:tcW w:w="277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75"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147.85</w:t>
            </w:r>
          </w:p>
        </w:tc>
      </w:tr>
      <w:tr>
        <w:tblPrEx>
          <w:tblLayout w:type="fixed"/>
          <w:tblCellMar>
            <w:top w:w="0" w:type="dxa"/>
            <w:left w:w="108" w:type="dxa"/>
            <w:bottom w:w="0" w:type="dxa"/>
            <w:right w:w="108" w:type="dxa"/>
          </w:tblCellMar>
        </w:tblPrEx>
        <w:trPr>
          <w:trHeight w:val="645" w:hRule="atLeast"/>
        </w:trPr>
        <w:tc>
          <w:tcPr>
            <w:tcW w:w="351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1、房屋（平方米）</w:t>
            </w:r>
          </w:p>
        </w:tc>
        <w:tc>
          <w:tcPr>
            <w:tcW w:w="277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0</w:t>
            </w:r>
          </w:p>
        </w:tc>
        <w:tc>
          <w:tcPr>
            <w:tcW w:w="5175"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0</w:t>
            </w:r>
          </w:p>
        </w:tc>
      </w:tr>
      <w:tr>
        <w:tblPrEx>
          <w:tblLayout w:type="fixed"/>
          <w:tblCellMar>
            <w:top w:w="0" w:type="dxa"/>
            <w:left w:w="108" w:type="dxa"/>
            <w:bottom w:w="0" w:type="dxa"/>
            <w:right w:w="108" w:type="dxa"/>
          </w:tblCellMar>
        </w:tblPrEx>
        <w:trPr>
          <w:trHeight w:val="645" w:hRule="atLeast"/>
        </w:trPr>
        <w:tc>
          <w:tcPr>
            <w:tcW w:w="351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其中：办公用房（平方米）</w:t>
            </w:r>
          </w:p>
        </w:tc>
        <w:tc>
          <w:tcPr>
            <w:tcW w:w="277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0</w:t>
            </w:r>
          </w:p>
        </w:tc>
        <w:tc>
          <w:tcPr>
            <w:tcW w:w="5175"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0</w:t>
            </w:r>
          </w:p>
        </w:tc>
      </w:tr>
      <w:tr>
        <w:tblPrEx>
          <w:tblLayout w:type="fixed"/>
          <w:tblCellMar>
            <w:top w:w="0" w:type="dxa"/>
            <w:left w:w="108" w:type="dxa"/>
            <w:bottom w:w="0" w:type="dxa"/>
            <w:right w:w="108" w:type="dxa"/>
          </w:tblCellMar>
        </w:tblPrEx>
        <w:trPr>
          <w:trHeight w:val="645" w:hRule="atLeast"/>
        </w:trPr>
        <w:tc>
          <w:tcPr>
            <w:tcW w:w="351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2、车辆（台、辆）</w:t>
            </w:r>
          </w:p>
        </w:tc>
        <w:tc>
          <w:tcPr>
            <w:tcW w:w="277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1</w:t>
            </w:r>
          </w:p>
        </w:tc>
        <w:tc>
          <w:tcPr>
            <w:tcW w:w="5175"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17.98</w:t>
            </w:r>
          </w:p>
        </w:tc>
      </w:tr>
      <w:tr>
        <w:tblPrEx>
          <w:tblLayout w:type="fixed"/>
          <w:tblCellMar>
            <w:top w:w="0" w:type="dxa"/>
            <w:left w:w="108" w:type="dxa"/>
            <w:bottom w:w="0" w:type="dxa"/>
            <w:right w:w="108" w:type="dxa"/>
          </w:tblCellMar>
        </w:tblPrEx>
        <w:trPr>
          <w:trHeight w:val="645" w:hRule="atLeast"/>
        </w:trPr>
        <w:tc>
          <w:tcPr>
            <w:tcW w:w="351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3、单价在20万元以上设备</w:t>
            </w:r>
          </w:p>
        </w:tc>
        <w:tc>
          <w:tcPr>
            <w:tcW w:w="277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75"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0</w:t>
            </w:r>
          </w:p>
        </w:tc>
      </w:tr>
      <w:tr>
        <w:tblPrEx>
          <w:tblLayout w:type="fixed"/>
          <w:tblCellMar>
            <w:top w:w="0" w:type="dxa"/>
            <w:left w:w="108" w:type="dxa"/>
            <w:bottom w:w="0" w:type="dxa"/>
            <w:right w:w="108" w:type="dxa"/>
          </w:tblCellMar>
        </w:tblPrEx>
        <w:trPr>
          <w:trHeight w:val="645" w:hRule="atLeast"/>
        </w:trPr>
        <w:tc>
          <w:tcPr>
            <w:tcW w:w="351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4、其他固定资产</w:t>
            </w:r>
          </w:p>
        </w:tc>
        <w:tc>
          <w:tcPr>
            <w:tcW w:w="277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75"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129.87</w:t>
            </w:r>
          </w:p>
        </w:tc>
      </w:tr>
    </w:tbl>
    <w:p>
      <w:pPr>
        <w:numPr>
          <w:ilvl w:val="0"/>
          <w:numId w:val="2"/>
        </w:numPr>
        <w:autoSpaceDE w:val="0"/>
        <w:autoSpaceDN w:val="0"/>
        <w:adjustRightInd w:val="0"/>
        <w:ind w:left="198" w:firstLine="640" w:firstLineChars="200"/>
        <w:jc w:val="left"/>
        <w:rPr>
          <w:rFonts w:hint="eastAsia" w:ascii="黑体" w:hAnsi="黑体" w:eastAsia="黑体" w:cs="Times New Roman"/>
          <w:sz w:val="32"/>
          <w:szCs w:val="32"/>
        </w:rPr>
      </w:pPr>
      <w:r>
        <w:rPr>
          <w:rFonts w:hint="eastAsia" w:ascii="黑体" w:hAnsi="黑体" w:eastAsia="黑体" w:cs="Times New Roman"/>
          <w:sz w:val="32"/>
          <w:szCs w:val="32"/>
        </w:rPr>
        <w:t>名词解释</w:t>
      </w:r>
    </w:p>
    <w:p>
      <w:pPr>
        <w:autoSpaceDE w:val="0"/>
        <w:autoSpaceDN w:val="0"/>
        <w:adjustRightInd w:val="0"/>
        <w:ind w:left="420" w:leftChars="2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1、一般预算收入：省级财政当年拨付的资金。</w:t>
      </w:r>
    </w:p>
    <w:p>
      <w:pPr>
        <w:autoSpaceDE w:val="0"/>
        <w:autoSpaceDN w:val="0"/>
        <w:adjustRightInd w:val="0"/>
        <w:ind w:left="420" w:leftChars="2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2、基本支出：为保障机构正常运转，完成日常工作任务，而发生的人员支出和公用支出。</w:t>
      </w:r>
    </w:p>
    <w:p>
      <w:pPr>
        <w:autoSpaceDE w:val="0"/>
        <w:autoSpaceDN w:val="0"/>
        <w:adjustRightInd w:val="0"/>
        <w:ind w:left="420" w:leftChars="2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3、项目支出：是指在基本支出之外，为完成特定行政任务和事业发展目标，而发生的支出。</w:t>
      </w:r>
    </w:p>
    <w:p>
      <w:pPr>
        <w:autoSpaceDE w:val="0"/>
        <w:autoSpaceDN w:val="0"/>
        <w:adjustRightInd w:val="0"/>
        <w:ind w:left="420" w:leftChars="2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机关运行费：是指为保证行政单位（包括参照公务员管理的事业单位）运行，用于购买货物和服务的各项资金。主要包括：办公费、印刷费，水费、电费、邮电费、福利费、日常维修费、办公取暖费、办公物业服务费、公务车运行维护费等。</w:t>
      </w:r>
    </w:p>
    <w:p>
      <w:pPr>
        <w:autoSpaceDE w:val="0"/>
        <w:autoSpaceDN w:val="0"/>
        <w:adjustRightInd w:val="0"/>
        <w:ind w:left="420" w:leftChars="200" w:firstLine="643" w:firstLineChars="200"/>
        <w:jc w:val="left"/>
        <w:rPr>
          <w:rFonts w:hint="eastAsia" w:ascii="黑体" w:hAnsi="宋体-方正超大字符集" w:eastAsia="黑体" w:cs="宋体-方正超大字符集"/>
          <w:b/>
          <w:bCs/>
          <w:sz w:val="32"/>
          <w:szCs w:val="32"/>
        </w:rPr>
      </w:pPr>
      <w:r>
        <w:rPr>
          <w:rFonts w:hint="eastAsia" w:ascii="黑体" w:hAnsi="宋体-方正超大字符集" w:eastAsia="黑体" w:cs="宋体-方正超大字符集"/>
          <w:b/>
          <w:bCs/>
          <w:sz w:val="32"/>
          <w:szCs w:val="32"/>
        </w:rPr>
        <w:t>九、其他需要说明的事项</w:t>
      </w:r>
    </w:p>
    <w:p>
      <w:pPr>
        <w:autoSpaceDE w:val="0"/>
        <w:autoSpaceDN w:val="0"/>
        <w:adjustRightInd w:val="0"/>
        <w:ind w:left="420" w:leftChars="2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无其他需要说明的事项。</w:t>
      </w:r>
    </w:p>
    <w:p>
      <w:pPr>
        <w:ind w:firstLine="640" w:firstLineChars="200"/>
        <w:rPr>
          <w:rFonts w:hint="eastAsia" w:ascii="仿宋_GB2312" w:hAnsi="仿宋_GB2312" w:eastAsia="仿宋_GB2312" w:cs="仿宋_GB2312"/>
          <w:sz w:val="32"/>
          <w:szCs w:val="32"/>
        </w:rPr>
      </w:pPr>
    </w:p>
    <w:p>
      <w:bookmarkStart w:id="2" w:name="_GoBack"/>
      <w:bookmarkEnd w:id="2"/>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宋体-方正超大字符集">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18F2D"/>
    <w:multiLevelType w:val="singleLevel"/>
    <w:tmpl w:val="58818F2D"/>
    <w:lvl w:ilvl="0" w:tentative="0">
      <w:start w:val="2"/>
      <w:numFmt w:val="decimal"/>
      <w:suff w:val="nothing"/>
      <w:lvlText w:val="%1、"/>
      <w:lvlJc w:val="left"/>
    </w:lvl>
  </w:abstractNum>
  <w:abstractNum w:abstractNumId="1">
    <w:nsid w:val="5881B3F2"/>
    <w:multiLevelType w:val="singleLevel"/>
    <w:tmpl w:val="5881B3F2"/>
    <w:lvl w:ilvl="0" w:tentative="0">
      <w:start w:val="8"/>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658AD"/>
    <w:rsid w:val="19C65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2021-04-30T02:22:00Z</dcterms:created>
  <dc:creator>蘑菇力</dc:creator>
  <cp:lastModifiedBy>蘑菇力</cp:lastModifiedBy>
  <dcterms:modified xsi:type="dcterms:W3CDTF">2021-04-30T02:23:45Z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